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1834" w14:textId="676A6BD3" w:rsidR="00ED5B26" w:rsidRPr="00811451" w:rsidRDefault="009A6AEC" w:rsidP="002910A1">
      <w:pPr>
        <w:pStyle w:val="BodyTextIndent"/>
        <w:tabs>
          <w:tab w:val="clear" w:pos="-720"/>
          <w:tab w:val="clear" w:pos="0"/>
          <w:tab w:val="clear" w:pos="720"/>
        </w:tabs>
        <w:spacing w:after="0" w:line="240" w:lineRule="auto"/>
        <w:jc w:val="left"/>
      </w:pPr>
      <w:r w:rsidRPr="00811451">
        <w:t>2.2</w:t>
      </w:r>
      <w:r w:rsidR="004D52AF" w:rsidRPr="00811451">
        <w:t>6</w:t>
      </w:r>
      <w:r w:rsidR="0014290D" w:rsidRPr="00811451">
        <w:tab/>
      </w:r>
      <w:r w:rsidR="005F0785" w:rsidRPr="001F55A6">
        <w:rPr>
          <w:caps/>
        </w:rPr>
        <w:t xml:space="preserve">failure to ACCOMMODATe employee with Disability </w:t>
      </w:r>
      <w:r w:rsidR="00E62F6C" w:rsidRPr="001F55A6">
        <w:rPr>
          <w:caps/>
        </w:rPr>
        <w:t>under the New Jersey law Again</w:t>
      </w:r>
      <w:r w:rsidR="005F0785" w:rsidRPr="001F55A6">
        <w:rPr>
          <w:caps/>
        </w:rPr>
        <w:t>s</w:t>
      </w:r>
      <w:r w:rsidR="00E62F6C" w:rsidRPr="001F55A6">
        <w:rPr>
          <w:caps/>
        </w:rPr>
        <w:t>t Discrimination</w:t>
      </w:r>
      <w:r w:rsidR="00FB35A8" w:rsidRPr="001F55A6">
        <w:rPr>
          <w:caps/>
        </w:rPr>
        <w:t xml:space="preserve"> </w:t>
      </w:r>
      <w:bookmarkStart w:id="0" w:name="Text1"/>
      <w:r w:rsidR="005806A7">
        <w:rPr>
          <w:caps/>
        </w:rPr>
        <w:t>(A</w:t>
      </w:r>
      <w:r w:rsidR="005806A7">
        <w:t>pproved</w:t>
      </w:r>
      <w:r w:rsidR="005806A7">
        <w:rPr>
          <w:caps/>
        </w:rPr>
        <w:t xml:space="preserve"> 02/2013; r</w:t>
      </w:r>
      <w:r w:rsidR="005806A7">
        <w:t>evised</w:t>
      </w:r>
      <w:r w:rsidR="005806A7">
        <w:rPr>
          <w:caps/>
        </w:rPr>
        <w:t xml:space="preserve"> 10/2022)</w:t>
      </w:r>
      <w:r w:rsidR="005806A7" w:rsidRPr="001F55A6" w:rsidDel="005806A7">
        <w:rPr>
          <w:b w:val="0"/>
        </w:rPr>
        <w:t xml:space="preserve"> </w:t>
      </w:r>
      <w:bookmarkEnd w:id="0"/>
    </w:p>
    <w:p w14:paraId="79F666EB" w14:textId="77777777" w:rsidR="00ED5B26" w:rsidRPr="00811451" w:rsidRDefault="00ED5B26">
      <w:pPr>
        <w:tabs>
          <w:tab w:val="center" w:pos="4680"/>
        </w:tabs>
        <w:spacing w:line="480" w:lineRule="auto"/>
        <w:jc w:val="both"/>
        <w:rPr>
          <w:spacing w:val="-3"/>
        </w:rPr>
      </w:pPr>
      <w:bookmarkStart w:id="1" w:name="a2_22G"/>
      <w:bookmarkEnd w:id="1"/>
    </w:p>
    <w:p w14:paraId="7CD73204" w14:textId="0002B556" w:rsidR="004779B4" w:rsidRPr="00811451" w:rsidRDefault="004D52AF">
      <w:pPr>
        <w:pStyle w:val="BodyTextIndent2"/>
        <w:tabs>
          <w:tab w:val="clear" w:pos="-720"/>
          <w:tab w:val="clear" w:pos="0"/>
          <w:tab w:val="clear" w:pos="720"/>
        </w:tabs>
        <w:spacing w:line="480" w:lineRule="auto"/>
        <w:ind w:left="0" w:firstLine="0"/>
      </w:pPr>
      <w:r w:rsidRPr="00811451">
        <w:tab/>
        <w:t xml:space="preserve">Plaintiff claims that defendant unlawfully failed to accommodate </w:t>
      </w:r>
      <w:r w:rsidR="005806A7">
        <w:t xml:space="preserve">plaintiff’s </w:t>
      </w:r>
      <w:r w:rsidRPr="00811451">
        <w:t xml:space="preserve">disability.  Specifically, plaintiff argues that defendant should have </w:t>
      </w:r>
      <w:r w:rsidR="00382ACE" w:rsidRPr="00382ACE">
        <w:t>[</w:t>
      </w:r>
      <w:r w:rsidRPr="00811451">
        <w:rPr>
          <w:i/>
        </w:rPr>
        <w:t xml:space="preserve">insert description of accommodation at issue, such as </w:t>
      </w:r>
      <w:r w:rsidR="004779B4" w:rsidRPr="00811451">
        <w:rPr>
          <w:i/>
        </w:rPr>
        <w:t xml:space="preserve">“modified </w:t>
      </w:r>
      <w:r w:rsidR="005806A7">
        <w:rPr>
          <w:i/>
        </w:rPr>
        <w:t xml:space="preserve">plaintiff’s </w:t>
      </w:r>
      <w:r w:rsidR="004779B4" w:rsidRPr="00811451">
        <w:rPr>
          <w:i/>
        </w:rPr>
        <w:t xml:space="preserve">job duties” or “modified </w:t>
      </w:r>
      <w:r w:rsidR="005806A7">
        <w:rPr>
          <w:i/>
        </w:rPr>
        <w:t xml:space="preserve">plaintiff’s </w:t>
      </w:r>
      <w:r w:rsidR="004779B4" w:rsidRPr="00811451">
        <w:rPr>
          <w:i/>
        </w:rPr>
        <w:t xml:space="preserve">work schedule” or “granted </w:t>
      </w:r>
      <w:r w:rsidR="005806A7">
        <w:rPr>
          <w:i/>
        </w:rPr>
        <w:t xml:space="preserve">plaintiff </w:t>
      </w:r>
      <w:r w:rsidR="004779B4" w:rsidRPr="00811451">
        <w:rPr>
          <w:i/>
        </w:rPr>
        <w:t xml:space="preserve">a leave of absence” or “transferred </w:t>
      </w:r>
      <w:r w:rsidR="000A636B">
        <w:rPr>
          <w:i/>
        </w:rPr>
        <w:t>plaintiff</w:t>
      </w:r>
      <w:r w:rsidR="004779B4" w:rsidRPr="00811451">
        <w:rPr>
          <w:i/>
        </w:rPr>
        <w:t xml:space="preserve"> to another open position for which </w:t>
      </w:r>
      <w:r w:rsidR="000A636B">
        <w:rPr>
          <w:i/>
        </w:rPr>
        <w:t xml:space="preserve">plaintiff </w:t>
      </w:r>
      <w:r w:rsidR="004779B4" w:rsidRPr="00811451">
        <w:rPr>
          <w:i/>
        </w:rPr>
        <w:t>was qualified”</w:t>
      </w:r>
      <w:r w:rsidRPr="00811451">
        <w:rPr>
          <w:i/>
        </w:rPr>
        <w:t>, etc.</w:t>
      </w:r>
      <w:r w:rsidR="00382ACE" w:rsidRPr="00382ACE">
        <w:t>]</w:t>
      </w:r>
      <w:r w:rsidRPr="00811451">
        <w:t xml:space="preserve">.  Defendant argues that </w:t>
      </w:r>
      <w:r w:rsidR="00382ACE" w:rsidRPr="00382ACE">
        <w:t>[</w:t>
      </w:r>
      <w:r w:rsidRPr="00811451">
        <w:rPr>
          <w:i/>
        </w:rPr>
        <w:t>insert description of defendant’s position, such as “plaintiff did not have a disability” or “</w:t>
      </w:r>
      <w:r w:rsidR="005F0785" w:rsidRPr="00811451">
        <w:rPr>
          <w:i/>
        </w:rPr>
        <w:t>no</w:t>
      </w:r>
      <w:r w:rsidR="003C3996" w:rsidRPr="00811451">
        <w:rPr>
          <w:i/>
        </w:rPr>
        <w:t xml:space="preserve"> accommodation would have enabled </w:t>
      </w:r>
      <w:r w:rsidR="005F0785" w:rsidRPr="00811451">
        <w:rPr>
          <w:i/>
        </w:rPr>
        <w:t>plaintiff</w:t>
      </w:r>
      <w:r w:rsidR="003C3996" w:rsidRPr="00811451">
        <w:rPr>
          <w:i/>
        </w:rPr>
        <w:t xml:space="preserve"> to perform the essential functions of </w:t>
      </w:r>
      <w:r w:rsidR="005806A7">
        <w:rPr>
          <w:i/>
        </w:rPr>
        <w:t xml:space="preserve">plaintiff’s </w:t>
      </w:r>
      <w:r w:rsidR="003C3996" w:rsidRPr="00811451">
        <w:rPr>
          <w:i/>
        </w:rPr>
        <w:t xml:space="preserve">job” or </w:t>
      </w:r>
      <w:r w:rsidR="004779B4" w:rsidRPr="00811451">
        <w:rPr>
          <w:i/>
        </w:rPr>
        <w:t xml:space="preserve">“it was not aware that plaintiff needed an accommodation” or “the accommodation plaintiff sought was not reasonable” or </w:t>
      </w:r>
      <w:r w:rsidRPr="00811451">
        <w:rPr>
          <w:i/>
        </w:rPr>
        <w:t>“the accommodation it provided to plaintiff was adequate”</w:t>
      </w:r>
      <w:r w:rsidR="003C3996" w:rsidRPr="00811451">
        <w:rPr>
          <w:i/>
        </w:rPr>
        <w:t>, etc.</w:t>
      </w:r>
      <w:r w:rsidR="00382ACE" w:rsidRPr="00382ACE">
        <w:t>]</w:t>
      </w:r>
      <w:r w:rsidR="003C3996" w:rsidRPr="00811451">
        <w:t>.</w:t>
      </w:r>
    </w:p>
    <w:p w14:paraId="66A6ABFA" w14:textId="3DB341FC" w:rsidR="00092995" w:rsidRPr="00706132" w:rsidRDefault="005F0785">
      <w:pPr>
        <w:pStyle w:val="BodyTextIndent2"/>
        <w:tabs>
          <w:tab w:val="clear" w:pos="-720"/>
          <w:tab w:val="clear" w:pos="0"/>
          <w:tab w:val="clear" w:pos="720"/>
        </w:tabs>
        <w:spacing w:line="480" w:lineRule="auto"/>
        <w:ind w:left="0" w:firstLine="0"/>
      </w:pPr>
      <w:r w:rsidRPr="00706132">
        <w:tab/>
        <w:t xml:space="preserve">To win </w:t>
      </w:r>
      <w:r w:rsidR="005806A7">
        <w:t xml:space="preserve">plaintiff’s </w:t>
      </w:r>
      <w:r w:rsidRPr="00706132">
        <w:t xml:space="preserve">case, plaintiff must </w:t>
      </w:r>
      <w:r w:rsidR="009944D4" w:rsidRPr="00706132">
        <w:t xml:space="preserve">prove each of the following elements by a preponderance of the evidence.  First, </w:t>
      </w:r>
      <w:r w:rsidR="00890C79" w:rsidRPr="00706132">
        <w:t xml:space="preserve">plaintiff must prove that </w:t>
      </w:r>
      <w:r w:rsidR="005806A7">
        <w:t>plaintiff</w:t>
      </w:r>
      <w:r w:rsidR="00890C79" w:rsidRPr="00706132">
        <w:t xml:space="preserve"> had a disability.  Second, plaintiff must prove that </w:t>
      </w:r>
      <w:r w:rsidR="005806A7">
        <w:t xml:space="preserve">plaintiff </w:t>
      </w:r>
      <w:r w:rsidR="00890C79" w:rsidRPr="00706132">
        <w:t xml:space="preserve">was able to perform all of the essential functions of </w:t>
      </w:r>
      <w:r w:rsidR="005806A7">
        <w:t xml:space="preserve">the </w:t>
      </w:r>
      <w:r w:rsidR="00890C79" w:rsidRPr="00706132">
        <w:t xml:space="preserve">job, either with or without a reasonable accommodation.  Third, plaintiff must prove that defendant was aware of </w:t>
      </w:r>
      <w:r w:rsidR="005806A7">
        <w:t xml:space="preserve">plaintiff’s </w:t>
      </w:r>
      <w:r w:rsidR="00890C79" w:rsidRPr="00706132">
        <w:t xml:space="preserve">need for a reasonable accommodation.  Fourth, plaintiff must prove that there was an accommodation </w:t>
      </w:r>
      <w:r w:rsidR="00B04BED" w:rsidRPr="00706132">
        <w:t xml:space="preserve">that would have allowed </w:t>
      </w:r>
      <w:r w:rsidR="005806A7">
        <w:t xml:space="preserve">plaintiff </w:t>
      </w:r>
      <w:r w:rsidR="00B04BED" w:rsidRPr="00706132">
        <w:t xml:space="preserve">to perform the essential functions of </w:t>
      </w:r>
      <w:r w:rsidR="005806A7">
        <w:t xml:space="preserve">plaintiff’s </w:t>
      </w:r>
      <w:r w:rsidR="00B04BED" w:rsidRPr="00706132">
        <w:t>job</w:t>
      </w:r>
      <w:r w:rsidR="00890C79" w:rsidRPr="00706132">
        <w:t xml:space="preserve">.  Fifth, plaintiff must prove that defendant denied </w:t>
      </w:r>
      <w:r w:rsidR="000A636B">
        <w:t xml:space="preserve">plaintiff </w:t>
      </w:r>
      <w:r w:rsidR="00890C79" w:rsidRPr="00706132">
        <w:t>accommodation.</w:t>
      </w:r>
      <w:r w:rsidR="00706132">
        <w:t xml:space="preserve">  </w:t>
      </w:r>
      <w:r w:rsidR="00706132" w:rsidRPr="00EC7343">
        <w:t xml:space="preserve">A plaintiff does </w:t>
      </w:r>
      <w:r w:rsidR="00706132" w:rsidRPr="00EC7343">
        <w:lastRenderedPageBreak/>
        <w:t>not have to prove an adverse employment action separate and apart from the failure to accommodate itself to prove a failure to accommodate claim.</w:t>
      </w:r>
      <w:r w:rsidR="00AB1F38" w:rsidRPr="00706132">
        <w:rPr>
          <w:rStyle w:val="FootnoteReference"/>
        </w:rPr>
        <w:footnoteReference w:id="1"/>
      </w:r>
      <w:r w:rsidR="00706132" w:rsidRPr="007D095D">
        <w:t xml:space="preserve"> </w:t>
      </w:r>
    </w:p>
    <w:p w14:paraId="23207EA6" w14:textId="70AB44B6" w:rsidR="00B04BED" w:rsidRPr="00811451" w:rsidRDefault="004779B4">
      <w:pPr>
        <w:pStyle w:val="BodyTextIndent2"/>
        <w:tabs>
          <w:tab w:val="clear" w:pos="-720"/>
          <w:tab w:val="clear" w:pos="0"/>
          <w:tab w:val="clear" w:pos="720"/>
        </w:tabs>
        <w:spacing w:line="480" w:lineRule="auto"/>
        <w:ind w:left="0" w:firstLine="0"/>
      </w:pPr>
      <w:r w:rsidRPr="00811451">
        <w:tab/>
        <w:t xml:space="preserve">To prove </w:t>
      </w:r>
      <w:r w:rsidR="000F3DFD" w:rsidRPr="00811451">
        <w:t xml:space="preserve">the first element of </w:t>
      </w:r>
      <w:r w:rsidR="005806A7">
        <w:t xml:space="preserve">plaintiff’s </w:t>
      </w:r>
      <w:r w:rsidR="000F3DFD" w:rsidRPr="00811451">
        <w:t xml:space="preserve">claim, which is </w:t>
      </w:r>
      <w:r w:rsidRPr="00811451">
        <w:t>that</w:t>
      </w:r>
      <w:r w:rsidR="00B04BED" w:rsidRPr="00811451">
        <w:t xml:space="preserve"> </w:t>
      </w:r>
      <w:r w:rsidR="005806A7">
        <w:t xml:space="preserve">plaintiff </w:t>
      </w:r>
      <w:r w:rsidR="00B04BED" w:rsidRPr="00811451">
        <w:t xml:space="preserve">had a disability, plaintiff must show that </w:t>
      </w:r>
      <w:r w:rsidR="005806A7">
        <w:t xml:space="preserve">plaintiff </w:t>
      </w:r>
      <w:r w:rsidR="00B04BED" w:rsidRPr="00811451">
        <w:t xml:space="preserve">had either (a) a physical condition caused by injury, birth defect, or illness or (b) a mental, psychological, or developmental condition that either (i) prevents the normal exercise of any bodily or mental functions or (ii) can be demonstrated medically or </w:t>
      </w:r>
      <w:r w:rsidR="000A4EBF" w:rsidRPr="00811451">
        <w:t>psychologically</w:t>
      </w:r>
      <w:r w:rsidR="00B04BED" w:rsidRPr="00811451">
        <w:t xml:space="preserve"> by accepted clinical or l</w:t>
      </w:r>
      <w:r w:rsidR="000A4EBF" w:rsidRPr="00811451">
        <w:t>aboratory diagnostic techniques</w:t>
      </w:r>
      <w:r w:rsidR="00B04BED" w:rsidRPr="00811451">
        <w:t>.</w:t>
      </w:r>
      <w:r w:rsidR="000A4EBF" w:rsidRPr="00811451">
        <w:rPr>
          <w:rStyle w:val="FootnoteReference"/>
        </w:rPr>
        <w:footnoteReference w:id="2"/>
      </w:r>
      <w:r w:rsidR="000A4EBF" w:rsidRPr="00811451">
        <w:t xml:space="preserve">  Plaintiff’s disability need not be particularly serious or permanent to qualify under the law.</w:t>
      </w:r>
      <w:r w:rsidR="000A4EBF" w:rsidRPr="00811451">
        <w:rPr>
          <w:rStyle w:val="FootnoteReference"/>
        </w:rPr>
        <w:footnoteReference w:id="3"/>
      </w:r>
    </w:p>
    <w:p w14:paraId="30A75E34" w14:textId="29EDA5A4" w:rsidR="00D2533A" w:rsidRPr="00811451" w:rsidRDefault="000A4EBF">
      <w:pPr>
        <w:pStyle w:val="BodyTextIndent2"/>
        <w:tabs>
          <w:tab w:val="clear" w:pos="-720"/>
          <w:tab w:val="clear" w:pos="0"/>
          <w:tab w:val="clear" w:pos="720"/>
        </w:tabs>
        <w:spacing w:line="480" w:lineRule="auto"/>
        <w:ind w:left="0" w:firstLine="0"/>
      </w:pPr>
      <w:r w:rsidRPr="00811451">
        <w:tab/>
      </w:r>
      <w:r w:rsidR="00212A45" w:rsidRPr="00811451">
        <w:t xml:space="preserve">In determining whether plaintiff has proven the second element of </w:t>
      </w:r>
      <w:r w:rsidR="005806A7">
        <w:t xml:space="preserve">plaintiff’s </w:t>
      </w:r>
      <w:r w:rsidR="00212A45" w:rsidRPr="00811451">
        <w:t xml:space="preserve">claim, which is that </w:t>
      </w:r>
      <w:r w:rsidR="000A636B">
        <w:t>plaintiff</w:t>
      </w:r>
      <w:r w:rsidR="00212A45" w:rsidRPr="00811451">
        <w:t xml:space="preserve"> was able to perform </w:t>
      </w:r>
      <w:proofErr w:type="gramStart"/>
      <w:r w:rsidR="00212A45" w:rsidRPr="00811451">
        <w:t>all of</w:t>
      </w:r>
      <w:proofErr w:type="gramEnd"/>
      <w:r w:rsidR="00212A45" w:rsidRPr="00811451">
        <w:t xml:space="preserve"> the essential functions of </w:t>
      </w:r>
      <w:r w:rsidR="005806A7">
        <w:t xml:space="preserve">plaintiff’s </w:t>
      </w:r>
      <w:r w:rsidR="00212A45" w:rsidRPr="00811451">
        <w:t>job, you must consider which job functions were truly essential.</w:t>
      </w:r>
      <w:r w:rsidR="00425D79" w:rsidRPr="00811451">
        <w:t xml:space="preserve">  </w:t>
      </w:r>
      <w:r w:rsidR="000749D5" w:rsidRPr="00811451">
        <w:t xml:space="preserve">Whereas plaintiff bears the burden of proving that </w:t>
      </w:r>
      <w:r w:rsidR="005806A7">
        <w:t xml:space="preserve">plaintiff </w:t>
      </w:r>
      <w:r w:rsidR="000749D5" w:rsidRPr="00811451">
        <w:t xml:space="preserve">could perform the essential functions of </w:t>
      </w:r>
      <w:r w:rsidR="005806A7">
        <w:t xml:space="preserve">plaintiff’s </w:t>
      </w:r>
      <w:r w:rsidR="000749D5" w:rsidRPr="00811451">
        <w:t>job with or without reasonable accommodation, if there is a dispute between the parties about whether a particular job function is essential, d</w:t>
      </w:r>
      <w:r w:rsidR="00425D79" w:rsidRPr="00811451">
        <w:t xml:space="preserve">efendant bears </w:t>
      </w:r>
      <w:r w:rsidR="00425D79" w:rsidRPr="00811451">
        <w:lastRenderedPageBreak/>
        <w:t xml:space="preserve">the burden of proving that </w:t>
      </w:r>
      <w:r w:rsidR="000749D5" w:rsidRPr="00811451">
        <w:t>the</w:t>
      </w:r>
      <w:r w:rsidR="00425D79" w:rsidRPr="00811451">
        <w:t xml:space="preserve"> function is essential.</w:t>
      </w:r>
      <w:r w:rsidR="00A4161A" w:rsidRPr="00811451">
        <w:rPr>
          <w:rStyle w:val="FootnoteReference"/>
        </w:rPr>
        <w:footnoteReference w:id="4"/>
      </w:r>
      <w:r w:rsidR="00A4161A" w:rsidRPr="00811451">
        <w:t xml:space="preserve">  </w:t>
      </w:r>
    </w:p>
    <w:p w14:paraId="1FD5B7B3" w14:textId="77777777" w:rsidR="000A4EBF" w:rsidRPr="00811451" w:rsidRDefault="00D2533A">
      <w:pPr>
        <w:pStyle w:val="BodyTextIndent2"/>
        <w:tabs>
          <w:tab w:val="clear" w:pos="-720"/>
          <w:tab w:val="clear" w:pos="0"/>
          <w:tab w:val="clear" w:pos="720"/>
        </w:tabs>
        <w:spacing w:line="480" w:lineRule="auto"/>
        <w:ind w:left="0" w:firstLine="0"/>
      </w:pPr>
      <w:r w:rsidRPr="00811451">
        <w:tab/>
      </w:r>
      <w:r w:rsidR="00A4161A" w:rsidRPr="00811451">
        <w:t>In determining whether a job function is essential, you should consider the following</w:t>
      </w:r>
      <w:r w:rsidR="00877486" w:rsidRPr="00811451">
        <w:t xml:space="preserve"> principles</w:t>
      </w:r>
      <w:r w:rsidR="00A4161A" w:rsidRPr="00811451">
        <w:t>:</w:t>
      </w:r>
    </w:p>
    <w:p w14:paraId="64F51A74" w14:textId="77777777" w:rsidR="00A4161A" w:rsidRPr="00811451" w:rsidRDefault="00877486" w:rsidP="000A636B">
      <w:pPr>
        <w:pStyle w:val="BodyTextIndent2"/>
        <w:numPr>
          <w:ilvl w:val="0"/>
          <w:numId w:val="6"/>
        </w:numPr>
        <w:tabs>
          <w:tab w:val="left" w:pos="1440"/>
        </w:tabs>
        <w:spacing w:line="480" w:lineRule="auto"/>
        <w:ind w:left="1440" w:hanging="720"/>
      </w:pPr>
      <w:r w:rsidRPr="00811451">
        <w:t>A function may be essential because the reason the position exists is to perform the function;</w:t>
      </w:r>
    </w:p>
    <w:p w14:paraId="2A04B879" w14:textId="77777777" w:rsidR="00877486" w:rsidRPr="00811451" w:rsidRDefault="00877486" w:rsidP="000A636B">
      <w:pPr>
        <w:pStyle w:val="BodyTextIndent2"/>
        <w:numPr>
          <w:ilvl w:val="0"/>
          <w:numId w:val="6"/>
        </w:numPr>
        <w:tabs>
          <w:tab w:val="left" w:pos="1440"/>
        </w:tabs>
        <w:spacing w:line="480" w:lineRule="auto"/>
        <w:ind w:left="1440" w:hanging="720"/>
      </w:pPr>
      <w:r w:rsidRPr="00811451">
        <w:t>A function may be essential because of the limited number of employees among whom that work can be distributed;</w:t>
      </w:r>
      <w:r w:rsidR="005441D0" w:rsidRPr="00811451">
        <w:t xml:space="preserve"> and</w:t>
      </w:r>
    </w:p>
    <w:p w14:paraId="1225B5C1" w14:textId="7438A6C0" w:rsidR="00877486" w:rsidRPr="00811451" w:rsidRDefault="00877486" w:rsidP="000A636B">
      <w:pPr>
        <w:pStyle w:val="BodyTextIndent2"/>
        <w:numPr>
          <w:ilvl w:val="0"/>
          <w:numId w:val="6"/>
        </w:numPr>
        <w:tabs>
          <w:tab w:val="left" w:pos="1440"/>
        </w:tabs>
        <w:spacing w:line="480" w:lineRule="auto"/>
        <w:ind w:left="1440" w:hanging="720"/>
      </w:pPr>
      <w:r w:rsidRPr="00811451">
        <w:t xml:space="preserve">A function may be essential because it is highly specialized and the person doing the job is chosen because of </w:t>
      </w:r>
      <w:r w:rsidR="005806A7">
        <w:t xml:space="preserve">the person’s </w:t>
      </w:r>
      <w:r w:rsidRPr="00811451">
        <w:t>expertise</w:t>
      </w:r>
      <w:r w:rsidR="00DC1FC2" w:rsidRPr="00811451">
        <w:t>.</w:t>
      </w:r>
    </w:p>
    <w:p w14:paraId="4BBA5EA4" w14:textId="1ED9FBD8" w:rsidR="00877486" w:rsidRPr="00811451" w:rsidRDefault="00D2533A" w:rsidP="001F55A6">
      <w:pPr>
        <w:pStyle w:val="BodyTextIndent2"/>
        <w:tabs>
          <w:tab w:val="clear" w:pos="-720"/>
          <w:tab w:val="clear" w:pos="0"/>
          <w:tab w:val="clear" w:pos="720"/>
        </w:tabs>
        <w:spacing w:line="480" w:lineRule="auto"/>
        <w:ind w:left="0" w:firstLine="0"/>
      </w:pPr>
      <w:r w:rsidRPr="00811451">
        <w:tab/>
      </w:r>
      <w:r w:rsidR="00877486" w:rsidRPr="00811451">
        <w:t xml:space="preserve">In deciding whether a job function is essential, you should consider written job descriptions, the amount of time that the person doing the job spends performing that particular function, the consequences of not requiring the person doing the job to perform that </w:t>
      </w:r>
      <w:r w:rsidR="00DC1FC2" w:rsidRPr="00811451">
        <w:t>particular</w:t>
      </w:r>
      <w:r w:rsidR="00877486" w:rsidRPr="00811451">
        <w:t xml:space="preserve"> function, the terms of any union collective bargaining agreement that applies to the job, </w:t>
      </w:r>
      <w:r w:rsidR="00DC1FC2" w:rsidRPr="00811451">
        <w:t>and whether other employees doing that job or similar jobs are required to perform that particular function.</w:t>
      </w:r>
      <w:r w:rsidR="0069525E" w:rsidRPr="00811451">
        <w:rPr>
          <w:rStyle w:val="FootnoteReference"/>
        </w:rPr>
        <w:footnoteReference w:id="5"/>
      </w:r>
    </w:p>
    <w:p w14:paraId="46FBF147" w14:textId="6A0D14E5" w:rsidR="000749D5" w:rsidRPr="00811451" w:rsidRDefault="000749D5" w:rsidP="001F55A6">
      <w:pPr>
        <w:pStyle w:val="BodyTextIndent2"/>
        <w:tabs>
          <w:tab w:val="clear" w:pos="-720"/>
          <w:tab w:val="clear" w:pos="0"/>
          <w:tab w:val="clear" w:pos="720"/>
        </w:tabs>
        <w:spacing w:line="480" w:lineRule="auto"/>
        <w:ind w:left="0" w:firstLine="720"/>
      </w:pPr>
      <w:r w:rsidRPr="00811451">
        <w:lastRenderedPageBreak/>
        <w:t xml:space="preserve">The third element that the plaintiff must prove is that defendant was aware of </w:t>
      </w:r>
      <w:r w:rsidR="005806A7">
        <w:t xml:space="preserve">plaintiff’s </w:t>
      </w:r>
      <w:r w:rsidRPr="00811451">
        <w:t xml:space="preserve">need for an accommodation.  In many cases, plaintiff will do so by offering evidence that </w:t>
      </w:r>
      <w:r w:rsidR="005806A7">
        <w:t xml:space="preserve">plaintiff </w:t>
      </w:r>
      <w:r w:rsidRPr="00811451">
        <w:t xml:space="preserve"> requested an accommodation from defendant.</w:t>
      </w:r>
      <w:r w:rsidR="00042F9E" w:rsidRPr="00811451">
        <w:t xml:space="preserve">  It is not necessary that requests for accommodation be in writing or even use the phrase “reasonable accommodation”.</w:t>
      </w:r>
      <w:r w:rsidR="00DF34DA" w:rsidRPr="00811451">
        <w:rPr>
          <w:rStyle w:val="FootnoteReference"/>
        </w:rPr>
        <w:footnoteReference w:id="6"/>
      </w:r>
      <w:r w:rsidR="00DF34DA" w:rsidRPr="00811451">
        <w:t xml:space="preserve">  An employee may use plain English and need not mention any law requiring accommodation.</w:t>
      </w:r>
      <w:r w:rsidR="00DF34DA" w:rsidRPr="00811451">
        <w:rPr>
          <w:rStyle w:val="FootnoteReference"/>
        </w:rPr>
        <w:footnoteReference w:id="7"/>
      </w:r>
      <w:r w:rsidR="00DF34DA" w:rsidRPr="00811451">
        <w:t xml:space="preserve">  Although there are no magic words that the employee must use, </w:t>
      </w:r>
      <w:r w:rsidR="005806A7">
        <w:t xml:space="preserve">the employee </w:t>
      </w:r>
      <w:r w:rsidR="00DF34DA" w:rsidRPr="00811451">
        <w:t xml:space="preserve">must make clear to the employer that </w:t>
      </w:r>
      <w:r w:rsidR="005806A7">
        <w:t xml:space="preserve">the employee </w:t>
      </w:r>
      <w:r w:rsidR="00DF34DA" w:rsidRPr="00811451">
        <w:t xml:space="preserve">needs some assistance in performing </w:t>
      </w:r>
      <w:r w:rsidR="00BF0C2E">
        <w:t xml:space="preserve">the </w:t>
      </w:r>
      <w:r w:rsidR="00DF34DA" w:rsidRPr="00811451">
        <w:t xml:space="preserve">job because of </w:t>
      </w:r>
      <w:r w:rsidR="00BF0C2E">
        <w:t xml:space="preserve">the employee’s </w:t>
      </w:r>
      <w:r w:rsidR="00DF34DA" w:rsidRPr="00811451">
        <w:t>disability.</w:t>
      </w:r>
      <w:r w:rsidR="00DF34DA" w:rsidRPr="00811451">
        <w:rPr>
          <w:rStyle w:val="FootnoteReference"/>
        </w:rPr>
        <w:footnoteReference w:id="8"/>
      </w:r>
      <w:r w:rsidR="00DF34DA" w:rsidRPr="00811451">
        <w:t xml:space="preserve">  However, plaintiff need not prove that </w:t>
      </w:r>
      <w:r w:rsidR="00BF0C2E">
        <w:t>plaintiff</w:t>
      </w:r>
      <w:r w:rsidR="00DF34DA" w:rsidRPr="00811451">
        <w:t xml:space="preserve"> requested an accommodation if </w:t>
      </w:r>
      <w:r w:rsidR="00BF0C2E">
        <w:t>plaintiff</w:t>
      </w:r>
      <w:r w:rsidR="00DF34DA" w:rsidRPr="00811451">
        <w:t xml:space="preserve"> can prove that defendant knew about </w:t>
      </w:r>
      <w:r w:rsidR="00BF0C2E">
        <w:t xml:space="preserve">plaintiff’s </w:t>
      </w:r>
      <w:r w:rsidR="00DF34DA" w:rsidRPr="00811451">
        <w:t>need for accommodation in some other way.</w:t>
      </w:r>
      <w:r w:rsidR="00724274" w:rsidRPr="00811451">
        <w:rPr>
          <w:rStyle w:val="FootnoteReference"/>
        </w:rPr>
        <w:footnoteReference w:id="9"/>
      </w:r>
    </w:p>
    <w:p w14:paraId="4A640B62" w14:textId="063D22AD" w:rsidR="00F336E8" w:rsidRPr="00811451" w:rsidRDefault="00F336E8" w:rsidP="001F55A6">
      <w:pPr>
        <w:pStyle w:val="BodyTextIndent2"/>
        <w:tabs>
          <w:tab w:val="clear" w:pos="-720"/>
          <w:tab w:val="clear" w:pos="0"/>
          <w:tab w:val="clear" w:pos="720"/>
        </w:tabs>
        <w:spacing w:line="480" w:lineRule="auto"/>
        <w:ind w:left="0" w:firstLine="0"/>
      </w:pPr>
      <w:r w:rsidRPr="00811451">
        <w:tab/>
        <w:t xml:space="preserve">The fourth element that plaintiff must prove is that there was an accommodation that would have allowed </w:t>
      </w:r>
      <w:r w:rsidR="00BF0C2E">
        <w:t xml:space="preserve">plaintiff </w:t>
      </w:r>
      <w:r w:rsidRPr="00811451">
        <w:t xml:space="preserve">to perform the essential functions of </w:t>
      </w:r>
      <w:r w:rsidR="007D095D">
        <w:t>plaintiff’s</w:t>
      </w:r>
      <w:r w:rsidRPr="00811451">
        <w:t xml:space="preserve"> job.  </w:t>
      </w:r>
      <w:r w:rsidR="00712C81" w:rsidRPr="00811451">
        <w:t xml:space="preserve">Examples of reasonable accommodation include (a) making facilities used by </w:t>
      </w:r>
      <w:r w:rsidR="00712C81" w:rsidRPr="00811451">
        <w:lastRenderedPageBreak/>
        <w:t>employees accessible and usable by people with disabilities, (b) job restructuring, (c) part-time or other modified work schedules, (d) leaves of absence, (e) getting or modifying equipment or devices to allow employees with disabilities to do the job, and (f) transfer to another open position for which the employee with a disability is qualified.</w:t>
      </w:r>
      <w:r w:rsidR="00712C81" w:rsidRPr="00811451">
        <w:rPr>
          <w:rStyle w:val="FootnoteReference"/>
        </w:rPr>
        <w:footnoteReference w:id="10"/>
      </w:r>
    </w:p>
    <w:p w14:paraId="7B15793A" w14:textId="3BF3502E" w:rsidR="00EB40C7" w:rsidRPr="00811451" w:rsidRDefault="00EB40C7" w:rsidP="001F55A6">
      <w:pPr>
        <w:pStyle w:val="BodyTextIndent2"/>
        <w:tabs>
          <w:tab w:val="clear" w:pos="-720"/>
          <w:tab w:val="clear" w:pos="0"/>
          <w:tab w:val="clear" w:pos="720"/>
        </w:tabs>
        <w:spacing w:line="480" w:lineRule="auto"/>
        <w:ind w:left="0" w:firstLine="0"/>
      </w:pPr>
      <w:r w:rsidRPr="00811451">
        <w:tab/>
        <w:t xml:space="preserve">The last element that plaintiff must prove is that defendant denied </w:t>
      </w:r>
      <w:r w:rsidR="00BF0C2E">
        <w:t xml:space="preserve">plaintiff </w:t>
      </w:r>
      <w:r w:rsidRPr="00811451">
        <w:t>accommodation.  It is important to note that if more than one accommodation would allow the employee to perform the essential functions of the job, the employer has the final say to choose between those effective accommodations, and may choose the less expensive or less difficult accommodation.</w:t>
      </w:r>
      <w:r w:rsidRPr="00811451">
        <w:rPr>
          <w:rStyle w:val="FootnoteReference"/>
        </w:rPr>
        <w:footnoteReference w:id="11"/>
      </w:r>
      <w:r w:rsidRPr="00811451">
        <w:t xml:space="preserve"> </w:t>
      </w:r>
      <w:r w:rsidR="0092000D" w:rsidRPr="00811451">
        <w:t xml:space="preserve"> </w:t>
      </w:r>
      <w:r w:rsidRPr="00811451">
        <w:t xml:space="preserve">If defendant argues that the accommodation sought by plaintiff would have </w:t>
      </w:r>
      <w:r w:rsidR="005441D0" w:rsidRPr="00811451">
        <w:t>placed</w:t>
      </w:r>
      <w:r w:rsidRPr="00811451">
        <w:t xml:space="preserve"> an undue </w:t>
      </w:r>
      <w:r w:rsidR="00AD22CC" w:rsidRPr="00811451">
        <w:t>hardship</w:t>
      </w:r>
      <w:r w:rsidRPr="00811451">
        <w:t xml:space="preserve"> on it, then defendant has the burden of proving that undue </w:t>
      </w:r>
      <w:r w:rsidR="00AD22CC" w:rsidRPr="00811451">
        <w:t>hardship</w:t>
      </w:r>
      <w:r w:rsidRPr="00811451">
        <w:t>.</w:t>
      </w:r>
      <w:r w:rsidR="00AD22CC" w:rsidRPr="00811451">
        <w:rPr>
          <w:rStyle w:val="FootnoteReference"/>
        </w:rPr>
        <w:footnoteReference w:id="12"/>
      </w:r>
      <w:r w:rsidR="00B01942" w:rsidRPr="00811451">
        <w:t xml:space="preserve">  In determining whether an accommodation would impose undue hardship on the operation of an employer’s business, you should consider the following factors:  (a) the overall size of the employer’s business with respect to the number of employees, number and type of facilities, and size of budget; (b) the type of the employer’s operations, including the </w:t>
      </w:r>
      <w:r w:rsidR="005441D0" w:rsidRPr="00811451">
        <w:lastRenderedPageBreak/>
        <w:t>make-up</w:t>
      </w:r>
      <w:r w:rsidR="00B01942" w:rsidRPr="00811451">
        <w:t xml:space="preserve"> and structure of the employer’s workforce; (c) the nature and cost of the accommodation needed, taking into consideration the availability of tax credits and deductions and/or outside funding; and (d) the extent to which accommodation would involve taking away an essential function of the job.</w:t>
      </w:r>
      <w:r w:rsidR="006D1234" w:rsidRPr="00811451">
        <w:rPr>
          <w:rStyle w:val="FootnoteReference"/>
        </w:rPr>
        <w:footnoteReference w:id="13"/>
      </w:r>
    </w:p>
    <w:p w14:paraId="01D8A2FB" w14:textId="77777777" w:rsidR="00E66ADB" w:rsidRPr="00811451" w:rsidRDefault="00E66ADB" w:rsidP="00EE2FC8">
      <w:pPr>
        <w:pStyle w:val="BodyTextIndent2"/>
        <w:tabs>
          <w:tab w:val="clear" w:pos="0"/>
          <w:tab w:val="clear" w:pos="720"/>
        </w:tabs>
        <w:spacing w:line="480" w:lineRule="auto"/>
        <w:ind w:left="720" w:right="720" w:firstLine="0"/>
        <w:jc w:val="center"/>
        <w:rPr>
          <w:b/>
        </w:rPr>
      </w:pPr>
      <w:r w:rsidRPr="00811451">
        <w:rPr>
          <w:b/>
          <w:i/>
        </w:rPr>
        <w:t>NOTE TO JUDGE</w:t>
      </w:r>
    </w:p>
    <w:p w14:paraId="6EF122DD" w14:textId="6E394A55" w:rsidR="00E66ADB" w:rsidRPr="00811451" w:rsidRDefault="00E66ADB" w:rsidP="001F55A6">
      <w:pPr>
        <w:pStyle w:val="BodyTextIndent2"/>
        <w:tabs>
          <w:tab w:val="clear" w:pos="-720"/>
          <w:tab w:val="clear" w:pos="0"/>
          <w:tab w:val="clear" w:pos="720"/>
        </w:tabs>
        <w:ind w:left="720" w:right="720" w:firstLine="0"/>
        <w:rPr>
          <w:b/>
        </w:rPr>
      </w:pPr>
      <w:r w:rsidRPr="00811451">
        <w:rPr>
          <w:b/>
        </w:rPr>
        <w:t xml:space="preserve">The following charge </w:t>
      </w:r>
      <w:r w:rsidR="0040217D" w:rsidRPr="00811451">
        <w:rPr>
          <w:b/>
        </w:rPr>
        <w:t xml:space="preserve">[in brackets] </w:t>
      </w:r>
      <w:r w:rsidRPr="00811451">
        <w:rPr>
          <w:b/>
        </w:rPr>
        <w:t xml:space="preserve">should be given on the fifth element of the </w:t>
      </w:r>
      <w:r w:rsidRPr="00811451">
        <w:rPr>
          <w:b/>
          <w:i/>
        </w:rPr>
        <w:t>prima facie</w:t>
      </w:r>
      <w:r w:rsidRPr="00811451">
        <w:rPr>
          <w:b/>
        </w:rPr>
        <w:t xml:space="preserve"> case</w:t>
      </w:r>
      <w:r w:rsidR="00614BB0" w:rsidRPr="00811451">
        <w:rPr>
          <w:b/>
        </w:rPr>
        <w:t xml:space="preserve"> </w:t>
      </w:r>
      <w:r w:rsidRPr="00811451">
        <w:rPr>
          <w:b/>
        </w:rPr>
        <w:t xml:space="preserve">where the plaintiff alleges that the defendant has </w:t>
      </w:r>
      <w:r w:rsidR="00D94636" w:rsidRPr="00811451">
        <w:rPr>
          <w:b/>
        </w:rPr>
        <w:t>failed</w:t>
      </w:r>
      <w:r w:rsidRPr="00811451">
        <w:rPr>
          <w:b/>
        </w:rPr>
        <w:t xml:space="preserve"> to engage in the interactive process</w:t>
      </w:r>
      <w:r w:rsidR="003B102A" w:rsidRPr="00811451">
        <w:rPr>
          <w:b/>
        </w:rPr>
        <w:t>. The charge should be given</w:t>
      </w:r>
      <w:r w:rsidRPr="00811451">
        <w:rPr>
          <w:b/>
        </w:rPr>
        <w:t xml:space="preserve"> in lieu of the preceding paragraph</w:t>
      </w:r>
      <w:r w:rsidR="003B102A" w:rsidRPr="00811451">
        <w:rPr>
          <w:b/>
        </w:rPr>
        <w:t xml:space="preserve"> in the standard charge</w:t>
      </w:r>
      <w:r w:rsidRPr="00811451">
        <w:rPr>
          <w:b/>
        </w:rPr>
        <w:t>.</w:t>
      </w:r>
    </w:p>
    <w:p w14:paraId="33D37485" w14:textId="77777777" w:rsidR="00E66ADB" w:rsidRPr="00811451" w:rsidRDefault="00E66ADB" w:rsidP="001F55A6">
      <w:pPr>
        <w:pStyle w:val="BodyTextIndent2"/>
        <w:tabs>
          <w:tab w:val="clear" w:pos="-720"/>
          <w:tab w:val="clear" w:pos="0"/>
          <w:tab w:val="clear" w:pos="720"/>
        </w:tabs>
        <w:ind w:left="0" w:firstLine="0"/>
      </w:pPr>
    </w:p>
    <w:p w14:paraId="2BF6DBFB" w14:textId="1CB34C13" w:rsidR="00E66ADB" w:rsidRPr="00811451" w:rsidRDefault="00E66ADB" w:rsidP="001F55A6">
      <w:pPr>
        <w:spacing w:line="480" w:lineRule="auto"/>
        <w:ind w:firstLine="720"/>
        <w:jc w:val="both"/>
        <w:rPr>
          <w:color w:val="212121"/>
        </w:rPr>
      </w:pPr>
      <w:r w:rsidRPr="00811451">
        <w:t xml:space="preserve"> </w:t>
      </w:r>
      <w:r w:rsidR="0040217D" w:rsidRPr="00811451">
        <w:t>[</w:t>
      </w:r>
      <w:r w:rsidRPr="00811451">
        <w:t xml:space="preserve">The last element that plaintiff must prove is that the defendant did not make a good faith effort to find a reasonable accommodation, which would have allowed the plaintiff to perform the essential functions of the job. </w:t>
      </w:r>
      <w:r w:rsidR="002C2902" w:rsidRPr="00811451">
        <w:t xml:space="preserve">Once the </w:t>
      </w:r>
      <w:r w:rsidR="00622276" w:rsidRPr="00811451">
        <w:t xml:space="preserve">employer has become aware of the </w:t>
      </w:r>
      <w:r w:rsidR="002C2902" w:rsidRPr="00811451">
        <w:t>employee</w:t>
      </w:r>
      <w:r w:rsidR="00622276" w:rsidRPr="00811451">
        <w:t>’s need for</w:t>
      </w:r>
      <w:r w:rsidR="002C2902" w:rsidRPr="00811451">
        <w:t xml:space="preserve"> assistance, </w:t>
      </w:r>
      <w:r w:rsidR="002C2902" w:rsidRPr="00811451">
        <w:rPr>
          <w:color w:val="212121"/>
        </w:rPr>
        <w:t xml:space="preserve">an employer must initiate an informal </w:t>
      </w:r>
      <w:r w:rsidR="002C2902" w:rsidRPr="00811451">
        <w:rPr>
          <w:bCs/>
          <w:color w:val="252525"/>
        </w:rPr>
        <w:t>interactive</w:t>
      </w:r>
      <w:r w:rsidR="002C2902" w:rsidRPr="00811451">
        <w:rPr>
          <w:color w:val="212121"/>
        </w:rPr>
        <w:t xml:space="preserve"> </w:t>
      </w:r>
      <w:r w:rsidR="002C2902" w:rsidRPr="00811451">
        <w:rPr>
          <w:bCs/>
          <w:color w:val="252525"/>
        </w:rPr>
        <w:t>process</w:t>
      </w:r>
      <w:r w:rsidR="002C2902" w:rsidRPr="00811451">
        <w:rPr>
          <w:color w:val="212121"/>
        </w:rPr>
        <w:t xml:space="preserve"> with the employee</w:t>
      </w:r>
      <w:r w:rsidR="002C2902" w:rsidRPr="00811451">
        <w:t xml:space="preserve"> t</w:t>
      </w:r>
      <w:r w:rsidRPr="00811451">
        <w:rPr>
          <w:color w:val="212121"/>
        </w:rPr>
        <w:t xml:space="preserve">o determine what appropriate accommodation is necessary to permit </w:t>
      </w:r>
      <w:r w:rsidR="00434F0A" w:rsidRPr="00811451">
        <w:rPr>
          <w:color w:val="212121"/>
        </w:rPr>
        <w:t xml:space="preserve">the </w:t>
      </w:r>
      <w:r w:rsidRPr="00811451">
        <w:rPr>
          <w:color w:val="212121"/>
        </w:rPr>
        <w:t>employee to perform the essential functions of the job.</w:t>
      </w:r>
      <w:r w:rsidRPr="00811451">
        <w:rPr>
          <w:rStyle w:val="FootnoteReference"/>
          <w:color w:val="212121"/>
        </w:rPr>
        <w:footnoteReference w:id="14"/>
      </w:r>
      <w:r w:rsidRPr="00811451">
        <w:rPr>
          <w:color w:val="212121"/>
        </w:rPr>
        <w:t xml:space="preserve"> This process must identify the potential reasonable accommodations that could be adopted to overcome the employee</w:t>
      </w:r>
      <w:r w:rsidR="00C96822">
        <w:rPr>
          <w:color w:val="212121"/>
        </w:rPr>
        <w:t>’</w:t>
      </w:r>
      <w:r w:rsidRPr="00811451">
        <w:rPr>
          <w:color w:val="212121"/>
        </w:rPr>
        <w:t>s precise limitations resulting from the disability.</w:t>
      </w:r>
      <w:r w:rsidR="00434F0A" w:rsidRPr="00811451">
        <w:rPr>
          <w:rStyle w:val="FootnoteReference"/>
          <w:color w:val="212121"/>
        </w:rPr>
        <w:footnoteReference w:id="15"/>
      </w:r>
      <w:r w:rsidRPr="00811451">
        <w:rPr>
          <w:color w:val="212121"/>
        </w:rPr>
        <w:t xml:space="preserve"> Engaging in the interactive </w:t>
      </w:r>
      <w:r w:rsidRPr="00811451">
        <w:rPr>
          <w:color w:val="212121"/>
        </w:rPr>
        <w:lastRenderedPageBreak/>
        <w:t>accommodation process does not dictate that any particular concession must be made by the employer but instead what it requires is that the employer make a good-faith effort to seek accommodations.</w:t>
      </w:r>
      <w:r w:rsidRPr="00811451">
        <w:rPr>
          <w:rStyle w:val="FootnoteReference"/>
          <w:color w:val="212121"/>
        </w:rPr>
        <w:footnoteReference w:id="16"/>
      </w:r>
      <w:r w:rsidRPr="00811451">
        <w:rPr>
          <w:color w:val="212121"/>
        </w:rPr>
        <w:t xml:space="preserve"> “Good faith” means </w:t>
      </w:r>
      <w:r w:rsidR="002743DF" w:rsidRPr="00811451">
        <w:rPr>
          <w:color w:val="212121"/>
        </w:rPr>
        <w:t xml:space="preserve">that the employer acted </w:t>
      </w:r>
      <w:r w:rsidRPr="00811451">
        <w:rPr>
          <w:color w:val="212121"/>
        </w:rPr>
        <w:t>honest</w:t>
      </w:r>
      <w:r w:rsidR="002743DF" w:rsidRPr="00811451">
        <w:rPr>
          <w:color w:val="212121"/>
        </w:rPr>
        <w:t xml:space="preserve">ly in its attempt to </w:t>
      </w:r>
      <w:r w:rsidRPr="00811451">
        <w:rPr>
          <w:color w:val="212121"/>
        </w:rPr>
        <w:t xml:space="preserve">find </w:t>
      </w:r>
      <w:r w:rsidR="002743DF" w:rsidRPr="00811451">
        <w:rPr>
          <w:color w:val="212121"/>
        </w:rPr>
        <w:t>a reasonable</w:t>
      </w:r>
      <w:r w:rsidRPr="00811451">
        <w:rPr>
          <w:color w:val="212121"/>
        </w:rPr>
        <w:t xml:space="preserve"> accommodation.</w:t>
      </w:r>
    </w:p>
    <w:p w14:paraId="5D86F5EA" w14:textId="75A78A26" w:rsidR="002C2902" w:rsidRPr="00811451" w:rsidRDefault="006D1234" w:rsidP="001F55A6">
      <w:pPr>
        <w:pStyle w:val="BodyTextIndent2"/>
        <w:tabs>
          <w:tab w:val="clear" w:pos="-720"/>
          <w:tab w:val="clear" w:pos="0"/>
          <w:tab w:val="clear" w:pos="720"/>
        </w:tabs>
        <w:spacing w:line="480" w:lineRule="auto"/>
        <w:ind w:left="0" w:firstLine="0"/>
      </w:pPr>
      <w:r w:rsidRPr="00811451">
        <w:tab/>
      </w:r>
      <w:r w:rsidR="002C2902" w:rsidRPr="00811451">
        <w:t>If defendant argues that a particular accommodation would have placed an undue hardship on it, then defendant has the burden of proving that undue hardship.</w:t>
      </w:r>
      <w:r w:rsidR="002C2902" w:rsidRPr="00811451">
        <w:rPr>
          <w:rStyle w:val="FootnoteReference"/>
        </w:rPr>
        <w:footnoteReference w:id="17"/>
      </w:r>
      <w:r w:rsidR="002C2902" w:rsidRPr="00811451">
        <w:t xml:space="preserve">  In determining whether an accommodation would impose undue hardship on the operation of an employer’s business, you should consider the following factors:  (a) the overall size of the employer’s business with respect to the number of employees, number and type of facilities, and size of budget; (b) the type of the employer’s operations, including the make-up and structure of the employer’s workforce; (c) the nature and cost of the accommodation needed, taking into consideration the availability of tax credits and deductions and/or outside funding; and (d) the extent to which accommodation would involve taking away an essential function of the job.</w:t>
      </w:r>
      <w:r w:rsidR="002C2902" w:rsidRPr="00811451">
        <w:rPr>
          <w:rStyle w:val="FootnoteReference"/>
        </w:rPr>
        <w:footnoteReference w:id="18"/>
      </w:r>
      <w:r w:rsidR="0040217D" w:rsidRPr="00811451">
        <w:t>]</w:t>
      </w:r>
    </w:p>
    <w:p w14:paraId="3862099F" w14:textId="3E6B2FA9" w:rsidR="004779B4" w:rsidRPr="00811451" w:rsidRDefault="002C2902" w:rsidP="001F55A6">
      <w:pPr>
        <w:pStyle w:val="BodyTextIndent2"/>
        <w:tabs>
          <w:tab w:val="clear" w:pos="-720"/>
          <w:tab w:val="clear" w:pos="0"/>
          <w:tab w:val="clear" w:pos="720"/>
        </w:tabs>
        <w:spacing w:line="480" w:lineRule="auto"/>
        <w:ind w:left="0" w:firstLine="0"/>
      </w:pPr>
      <w:r w:rsidRPr="00811451">
        <w:tab/>
      </w:r>
      <w:r w:rsidR="005441D0" w:rsidRPr="00811451">
        <w:t>In summary</w:t>
      </w:r>
      <w:r w:rsidR="006D1234" w:rsidRPr="00811451">
        <w:t xml:space="preserve">, to win on </w:t>
      </w:r>
      <w:r w:rsidR="00BF0C2E">
        <w:t xml:space="preserve">plaintiff’s </w:t>
      </w:r>
      <w:r w:rsidR="006D1234" w:rsidRPr="00811451">
        <w:t xml:space="preserve">claim, plaintiff must prove that it is more likely than not that (1) </w:t>
      </w:r>
      <w:r w:rsidR="00BF0C2E">
        <w:t xml:space="preserve">plaintiff </w:t>
      </w:r>
      <w:r w:rsidR="006D1234" w:rsidRPr="00811451">
        <w:t xml:space="preserve">had a disability; (2) </w:t>
      </w:r>
      <w:r w:rsidR="00BF0C2E">
        <w:t xml:space="preserve">plaintiff </w:t>
      </w:r>
      <w:r w:rsidR="006D1234" w:rsidRPr="00811451">
        <w:t xml:space="preserve">was able to perform all of the </w:t>
      </w:r>
      <w:r w:rsidR="006D1234" w:rsidRPr="00811451">
        <w:lastRenderedPageBreak/>
        <w:t xml:space="preserve">essential functions of </w:t>
      </w:r>
      <w:r w:rsidR="00BF0C2E">
        <w:t xml:space="preserve">plaintiff’s </w:t>
      </w:r>
      <w:r w:rsidR="006D1234" w:rsidRPr="00811451">
        <w:t xml:space="preserve">job, either with or without a reasonable accommodation; (3) defendant was aware of </w:t>
      </w:r>
      <w:r w:rsidR="00BF0C2E">
        <w:t>plaintiff’s</w:t>
      </w:r>
      <w:r w:rsidR="006D1234" w:rsidRPr="00811451">
        <w:t xml:space="preserve"> need for a reasonable accommodation; (4) there was an accommodation that would have allowed </w:t>
      </w:r>
      <w:r w:rsidR="00BF0C2E">
        <w:t>plaintiff</w:t>
      </w:r>
      <w:r w:rsidR="006D1234" w:rsidRPr="00811451">
        <w:t xml:space="preserve"> to perform the essential functions of </w:t>
      </w:r>
      <w:r w:rsidR="00BF0C2E">
        <w:t>plaintiff’s</w:t>
      </w:r>
      <w:r w:rsidR="006D1234" w:rsidRPr="00811451">
        <w:t xml:space="preserve"> job</w:t>
      </w:r>
      <w:r w:rsidR="005441D0" w:rsidRPr="00811451">
        <w:t>; and (5) defendant</w:t>
      </w:r>
      <w:r w:rsidR="00A3056B" w:rsidRPr="00811451">
        <w:t xml:space="preserve"> denied </w:t>
      </w:r>
      <w:r w:rsidR="00BF0C2E">
        <w:t>plaintiff</w:t>
      </w:r>
      <w:r w:rsidR="00A3056B" w:rsidRPr="00811451">
        <w:t xml:space="preserve"> accommodation. </w:t>
      </w:r>
      <w:r w:rsidR="00434F0A" w:rsidRPr="00811451">
        <w:t xml:space="preserve"> </w:t>
      </w:r>
      <w:r w:rsidR="005441D0" w:rsidRPr="00811451">
        <w:t>If you find that plaintiff failed to prove any of these elements by a preponderance of the evidence, you must render a verdict in favor of defendant.</w:t>
      </w:r>
      <w:r w:rsidR="004779B4" w:rsidRPr="00811451">
        <w:t xml:space="preserve"> </w:t>
      </w:r>
    </w:p>
    <w:p w14:paraId="2E844872" w14:textId="77777777" w:rsidR="00A3056B" w:rsidRPr="00811451" w:rsidRDefault="00A3056B" w:rsidP="001F55A6">
      <w:pPr>
        <w:pStyle w:val="BodyTextIndent2"/>
        <w:tabs>
          <w:tab w:val="clear" w:pos="-720"/>
          <w:tab w:val="clear" w:pos="0"/>
          <w:tab w:val="clear" w:pos="720"/>
        </w:tabs>
        <w:spacing w:line="480" w:lineRule="auto"/>
        <w:ind w:left="720" w:right="720" w:firstLine="0"/>
        <w:jc w:val="center"/>
        <w:rPr>
          <w:b/>
          <w:i/>
        </w:rPr>
      </w:pPr>
      <w:r w:rsidRPr="00811451">
        <w:rPr>
          <w:b/>
          <w:i/>
        </w:rPr>
        <w:t>NOTE TO JUDGE</w:t>
      </w:r>
    </w:p>
    <w:p w14:paraId="23DC00B4" w14:textId="77777777" w:rsidR="00A3056B" w:rsidRPr="00811451" w:rsidRDefault="00A3056B" w:rsidP="001F55A6">
      <w:pPr>
        <w:pStyle w:val="BodyTextIndent2"/>
        <w:tabs>
          <w:tab w:val="clear" w:pos="-720"/>
          <w:tab w:val="clear" w:pos="0"/>
          <w:tab w:val="clear" w:pos="720"/>
        </w:tabs>
        <w:ind w:left="720" w:right="720" w:firstLine="0"/>
        <w:rPr>
          <w:b/>
        </w:rPr>
      </w:pPr>
      <w:r w:rsidRPr="00811451">
        <w:rPr>
          <w:b/>
        </w:rPr>
        <w:t>In cases in which the plaintiff alleges a failure to engage in the interactive process, the fifth prong of the preceding paragraph should be modified as follows:</w:t>
      </w:r>
    </w:p>
    <w:p w14:paraId="4A13B136" w14:textId="77777777" w:rsidR="00A3056B" w:rsidRPr="00811451" w:rsidRDefault="00A3056B" w:rsidP="001F55A6">
      <w:pPr>
        <w:pStyle w:val="BodyTextIndent2"/>
        <w:tabs>
          <w:tab w:val="clear" w:pos="-720"/>
          <w:tab w:val="clear" w:pos="0"/>
          <w:tab w:val="clear" w:pos="720"/>
        </w:tabs>
        <w:ind w:left="720" w:firstLine="0"/>
        <w:rPr>
          <w:b/>
        </w:rPr>
      </w:pPr>
    </w:p>
    <w:p w14:paraId="70824AD1" w14:textId="463D8E25" w:rsidR="00A3056B" w:rsidRPr="00811451" w:rsidRDefault="00A3056B" w:rsidP="004A2CCB">
      <w:pPr>
        <w:pStyle w:val="BodyTextIndent2"/>
        <w:tabs>
          <w:tab w:val="clear" w:pos="-720"/>
          <w:tab w:val="clear" w:pos="0"/>
          <w:tab w:val="clear" w:pos="720"/>
        </w:tabs>
        <w:spacing w:line="480" w:lineRule="auto"/>
        <w:ind w:left="0" w:firstLine="0"/>
      </w:pPr>
      <w:r w:rsidRPr="00811451">
        <w:t>(5)  defendant did not make a good-faith effort to find a reasonable accommodation.</w:t>
      </w:r>
    </w:p>
    <w:p w14:paraId="32B286D6" w14:textId="77777777" w:rsidR="00A3056B" w:rsidRPr="00811451" w:rsidRDefault="00A3056B">
      <w:pPr>
        <w:pStyle w:val="BodyTextIndent2"/>
        <w:tabs>
          <w:tab w:val="left" w:pos="1440"/>
        </w:tabs>
        <w:spacing w:line="480" w:lineRule="auto"/>
        <w:ind w:left="0" w:firstLine="0"/>
      </w:pPr>
    </w:p>
    <w:p w14:paraId="620D1373" w14:textId="77777777" w:rsidR="00525074" w:rsidRPr="00811451" w:rsidRDefault="00525074">
      <w:pPr>
        <w:pStyle w:val="BodyTextIndent2"/>
        <w:tabs>
          <w:tab w:val="left" w:pos="1440"/>
        </w:tabs>
        <w:ind w:left="0" w:firstLine="0"/>
        <w:rPr>
          <w:b/>
        </w:rPr>
      </w:pPr>
    </w:p>
    <w:p w14:paraId="2AB0054F" w14:textId="7B356E62" w:rsidR="00525074" w:rsidRPr="00811451" w:rsidRDefault="00525074" w:rsidP="001F55A6">
      <w:pPr>
        <w:pStyle w:val="BodyTextIndent2"/>
        <w:tabs>
          <w:tab w:val="left" w:pos="1440"/>
        </w:tabs>
        <w:spacing w:line="480" w:lineRule="auto"/>
        <w:ind w:left="0" w:firstLine="0"/>
      </w:pPr>
    </w:p>
    <w:sectPr w:rsidR="00525074" w:rsidRPr="00811451" w:rsidSect="0031187B">
      <w:headerReference w:type="default" r:id="rId8"/>
      <w:footerReference w:type="default" r:id="rId9"/>
      <w:endnotePr>
        <w:numFmt w:val="decimal"/>
      </w:endnotePr>
      <w:type w:val="continuous"/>
      <w:pgSz w:w="12240" w:h="15840" w:code="1"/>
      <w:pgMar w:top="1440" w:right="1440" w:bottom="1440" w:left="144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25BE" w14:textId="77777777" w:rsidR="00EA5382" w:rsidRDefault="00EA5382">
      <w:pPr>
        <w:widowControl/>
        <w:spacing w:line="20" w:lineRule="exact"/>
        <w:rPr>
          <w:sz w:val="20"/>
          <w:szCs w:val="24"/>
        </w:rPr>
      </w:pPr>
    </w:p>
  </w:endnote>
  <w:endnote w:type="continuationSeparator" w:id="0">
    <w:p w14:paraId="1F70E820" w14:textId="77777777" w:rsidR="00EA5382" w:rsidRDefault="00EA5382">
      <w:r>
        <w:rPr>
          <w:sz w:val="20"/>
          <w:szCs w:val="24"/>
        </w:rPr>
        <w:t xml:space="preserve"> </w:t>
      </w:r>
    </w:p>
  </w:endnote>
  <w:endnote w:type="continuationNotice" w:id="1">
    <w:p w14:paraId="2BF1E518" w14:textId="77777777" w:rsidR="00EA5382" w:rsidRDefault="00EA5382">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3A72" w14:textId="38BEC93F" w:rsidR="00717B39" w:rsidRPr="00717B39" w:rsidRDefault="00717B39" w:rsidP="00717B39">
    <w:pPr>
      <w:pStyle w:val="Footer"/>
      <w:jc w:val="center"/>
      <w:rPr>
        <w:rFonts w:ascii="Times New Roman Bold" w:hAnsi="Times New Roman Bold"/>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863F" w14:textId="77777777" w:rsidR="00EA5382" w:rsidRDefault="00EA5382">
      <w:r>
        <w:rPr>
          <w:sz w:val="20"/>
          <w:szCs w:val="24"/>
        </w:rPr>
        <w:separator/>
      </w:r>
    </w:p>
  </w:footnote>
  <w:footnote w:type="continuationSeparator" w:id="0">
    <w:p w14:paraId="7C46B47D" w14:textId="77777777" w:rsidR="00EA5382" w:rsidRDefault="00EA5382">
      <w:r>
        <w:continuationSeparator/>
      </w:r>
    </w:p>
  </w:footnote>
  <w:footnote w:id="1">
    <w:p w14:paraId="1393C020" w14:textId="0FE30402" w:rsidR="005441D0" w:rsidRPr="0031187B" w:rsidRDefault="005441D0" w:rsidP="00056B6A">
      <w:pPr>
        <w:pStyle w:val="FootnoteText"/>
        <w:jc w:val="both"/>
        <w:rPr>
          <w:sz w:val="24"/>
        </w:rPr>
      </w:pPr>
      <w:r w:rsidRPr="0031187B">
        <w:rPr>
          <w:rStyle w:val="FootnoteReference"/>
          <w:sz w:val="24"/>
        </w:rPr>
        <w:footnoteRef/>
      </w:r>
      <w:r w:rsidRPr="0031187B">
        <w:rPr>
          <w:sz w:val="24"/>
        </w:rPr>
        <w:t xml:space="preserve"> </w:t>
      </w:r>
      <w:r w:rsidR="00D2533A" w:rsidRPr="0031187B">
        <w:rPr>
          <w:sz w:val="24"/>
        </w:rPr>
        <w:t xml:space="preserve"> </w:t>
      </w:r>
      <w:r w:rsidR="009E4847">
        <w:rPr>
          <w:i/>
          <w:iCs/>
          <w:sz w:val="24"/>
        </w:rPr>
        <w:t>Richter v. Oakland Board of Education</w:t>
      </w:r>
      <w:r w:rsidR="009E4847">
        <w:rPr>
          <w:sz w:val="24"/>
        </w:rPr>
        <w:t xml:space="preserve">, 246 </w:t>
      </w:r>
      <w:r w:rsidR="009E4847">
        <w:rPr>
          <w:i/>
          <w:iCs/>
          <w:sz w:val="24"/>
        </w:rPr>
        <w:t>N.J.</w:t>
      </w:r>
      <w:r w:rsidR="009E4847">
        <w:rPr>
          <w:sz w:val="24"/>
        </w:rPr>
        <w:t xml:space="preserve"> 507, 529-32 (2021). </w:t>
      </w:r>
    </w:p>
    <w:p w14:paraId="42508992" w14:textId="77777777" w:rsidR="00361E35" w:rsidRPr="0031187B" w:rsidRDefault="00361E35" w:rsidP="00056B6A">
      <w:pPr>
        <w:pStyle w:val="FootnoteText"/>
        <w:jc w:val="both"/>
        <w:rPr>
          <w:sz w:val="24"/>
        </w:rPr>
      </w:pPr>
    </w:p>
  </w:footnote>
  <w:footnote w:id="2">
    <w:p w14:paraId="263E4F83" w14:textId="5472AC4C" w:rsidR="005441D0" w:rsidRPr="0031187B" w:rsidRDefault="005441D0" w:rsidP="00056B6A">
      <w:pPr>
        <w:pStyle w:val="FootnoteText"/>
        <w:jc w:val="both"/>
        <w:rPr>
          <w:sz w:val="24"/>
        </w:rPr>
      </w:pPr>
      <w:r w:rsidRPr="0031187B">
        <w:rPr>
          <w:rStyle w:val="FootnoteReference"/>
          <w:sz w:val="24"/>
        </w:rPr>
        <w:footnoteRef/>
      </w:r>
      <w:r w:rsidRPr="0031187B">
        <w:rPr>
          <w:sz w:val="24"/>
        </w:rPr>
        <w:t xml:space="preserve"> </w:t>
      </w:r>
      <w:r w:rsidR="00D2533A" w:rsidRPr="0031187B">
        <w:rPr>
          <w:sz w:val="24"/>
        </w:rPr>
        <w:t xml:space="preserve"> </w:t>
      </w:r>
      <w:r w:rsidRPr="0031187B">
        <w:rPr>
          <w:i/>
          <w:sz w:val="24"/>
        </w:rPr>
        <w:t>N.J.S.A</w:t>
      </w:r>
      <w:r w:rsidRPr="0031187B">
        <w:rPr>
          <w:sz w:val="24"/>
        </w:rPr>
        <w:t>. 10:5-5(q).</w:t>
      </w:r>
    </w:p>
    <w:p w14:paraId="4E48C703" w14:textId="77777777" w:rsidR="00361E35" w:rsidRPr="0031187B" w:rsidRDefault="00361E35" w:rsidP="00056B6A">
      <w:pPr>
        <w:pStyle w:val="FootnoteText"/>
        <w:jc w:val="both"/>
        <w:rPr>
          <w:sz w:val="24"/>
        </w:rPr>
      </w:pPr>
    </w:p>
  </w:footnote>
  <w:footnote w:id="3">
    <w:p w14:paraId="3F7D1DCC" w14:textId="77777777" w:rsidR="005441D0" w:rsidRPr="0031187B" w:rsidRDefault="005441D0" w:rsidP="00056B6A">
      <w:pPr>
        <w:pStyle w:val="FootnoteText"/>
        <w:jc w:val="both"/>
        <w:rPr>
          <w:sz w:val="24"/>
        </w:rPr>
      </w:pPr>
      <w:r w:rsidRPr="0031187B">
        <w:rPr>
          <w:rStyle w:val="FootnoteReference"/>
          <w:sz w:val="24"/>
        </w:rPr>
        <w:footnoteRef/>
      </w:r>
      <w:r w:rsidRPr="0031187B">
        <w:rPr>
          <w:sz w:val="24"/>
        </w:rPr>
        <w:t xml:space="preserve"> </w:t>
      </w:r>
      <w:r w:rsidR="00D2533A" w:rsidRPr="0031187B">
        <w:rPr>
          <w:sz w:val="24"/>
        </w:rPr>
        <w:t xml:space="preserve"> </w:t>
      </w:r>
      <w:r w:rsidRPr="0031187B">
        <w:rPr>
          <w:i/>
          <w:sz w:val="24"/>
        </w:rPr>
        <w:t>See,</w:t>
      </w:r>
      <w:r w:rsidR="00D2533A" w:rsidRPr="0031187B">
        <w:rPr>
          <w:i/>
          <w:sz w:val="24"/>
        </w:rPr>
        <w:t xml:space="preserve"> </w:t>
      </w:r>
      <w:r w:rsidRPr="0031187B">
        <w:rPr>
          <w:i/>
          <w:sz w:val="24"/>
        </w:rPr>
        <w:t xml:space="preserve">e.g., </w:t>
      </w:r>
      <w:proofErr w:type="spellStart"/>
      <w:r w:rsidRPr="0031187B">
        <w:rPr>
          <w:i/>
          <w:sz w:val="24"/>
        </w:rPr>
        <w:t>Viscik</w:t>
      </w:r>
      <w:proofErr w:type="spellEnd"/>
      <w:r w:rsidRPr="0031187B">
        <w:rPr>
          <w:i/>
          <w:sz w:val="24"/>
        </w:rPr>
        <w:t xml:space="preserve"> v. Fowler Equip. Co</w:t>
      </w:r>
      <w:r w:rsidRPr="0031187B">
        <w:rPr>
          <w:sz w:val="24"/>
        </w:rPr>
        <w:t xml:space="preserve">., 173 </w:t>
      </w:r>
      <w:r w:rsidRPr="0031187B">
        <w:rPr>
          <w:i/>
          <w:sz w:val="24"/>
        </w:rPr>
        <w:t>N.J</w:t>
      </w:r>
      <w:r w:rsidRPr="0031187B">
        <w:rPr>
          <w:sz w:val="24"/>
        </w:rPr>
        <w:t xml:space="preserve">. 1, 16 (2002) (noting that “the term ‘handicapped’ in LAD is not restricted to ‘severe’ or ‘immutable’ disabilities”); </w:t>
      </w:r>
      <w:r w:rsidRPr="0031187B">
        <w:rPr>
          <w:i/>
          <w:sz w:val="24"/>
        </w:rPr>
        <w:t>Enriquez v. West Jersey Health Systems</w:t>
      </w:r>
      <w:r w:rsidRPr="0031187B">
        <w:rPr>
          <w:sz w:val="24"/>
        </w:rPr>
        <w:t xml:space="preserve">, 342 </w:t>
      </w:r>
      <w:r w:rsidRPr="0031187B">
        <w:rPr>
          <w:i/>
          <w:sz w:val="24"/>
        </w:rPr>
        <w:t>N.J. Super.</w:t>
      </w:r>
      <w:r w:rsidRPr="0031187B">
        <w:rPr>
          <w:sz w:val="24"/>
        </w:rPr>
        <w:t xml:space="preserve"> 501, 519 (App. Div. 2001) (observing that LAD “is very broad and does not require that a disability restrict any major life activities to any degree”); </w:t>
      </w:r>
      <w:r w:rsidRPr="0031187B">
        <w:rPr>
          <w:i/>
          <w:sz w:val="24"/>
        </w:rPr>
        <w:t>Soules v. Mount Holiness Memorial Park</w:t>
      </w:r>
      <w:r w:rsidRPr="0031187B">
        <w:rPr>
          <w:sz w:val="24"/>
        </w:rPr>
        <w:t xml:space="preserve">, 354 </w:t>
      </w:r>
      <w:r w:rsidRPr="0031187B">
        <w:rPr>
          <w:i/>
          <w:sz w:val="24"/>
        </w:rPr>
        <w:t>N.J. Super.</w:t>
      </w:r>
      <w:r w:rsidRPr="0031187B">
        <w:rPr>
          <w:sz w:val="24"/>
        </w:rPr>
        <w:t xml:space="preserve"> 569 (App. Div. 2002) (holding that plaintiff employee with cancer who needed eight months off from work to recuperate from surgical removal of kidney was “handicapped” for purposes of LAD despite fact that disability was temporary).</w:t>
      </w:r>
    </w:p>
  </w:footnote>
  <w:footnote w:id="4">
    <w:p w14:paraId="3DECE058" w14:textId="273E2F98" w:rsidR="005441D0" w:rsidRPr="0031187B" w:rsidRDefault="005441D0" w:rsidP="00056B6A">
      <w:pPr>
        <w:pStyle w:val="FootnoteText"/>
        <w:jc w:val="both"/>
        <w:rPr>
          <w:sz w:val="24"/>
        </w:rPr>
      </w:pPr>
      <w:r w:rsidRPr="0031187B">
        <w:rPr>
          <w:rStyle w:val="FootnoteReference"/>
          <w:sz w:val="24"/>
        </w:rPr>
        <w:footnoteRef/>
      </w:r>
      <w:r w:rsidRPr="0031187B">
        <w:rPr>
          <w:sz w:val="24"/>
        </w:rPr>
        <w:t xml:space="preserve"> </w:t>
      </w:r>
      <w:r w:rsidR="0092000D" w:rsidRPr="0031187B">
        <w:rPr>
          <w:sz w:val="24"/>
        </w:rPr>
        <w:t xml:space="preserve"> </w:t>
      </w:r>
      <w:r w:rsidRPr="0031187B">
        <w:rPr>
          <w:i/>
          <w:sz w:val="24"/>
        </w:rPr>
        <w:t>Sturm v. UAL Corp.</w:t>
      </w:r>
      <w:r w:rsidRPr="0031187B">
        <w:rPr>
          <w:sz w:val="24"/>
        </w:rPr>
        <w:t xml:space="preserve">, </w:t>
      </w:r>
      <w:r w:rsidR="004C1AF1" w:rsidRPr="0031187B">
        <w:rPr>
          <w:sz w:val="24"/>
          <w:shd w:val="clear" w:color="auto" w:fill="FFFFFF"/>
        </w:rPr>
        <w:t>Civil Action No. 98-264, 2000 U.S. Dist. LEXIS 13331</w:t>
      </w:r>
      <w:r w:rsidR="004C1AF1" w:rsidRPr="0031187B">
        <w:rPr>
          <w:sz w:val="24"/>
        </w:rPr>
        <w:t xml:space="preserve"> </w:t>
      </w:r>
      <w:r w:rsidRPr="0031187B">
        <w:rPr>
          <w:sz w:val="24"/>
        </w:rPr>
        <w:t>(D.N.J. Sept. 5, 2000) (holding under LAD that “employer bears the burden of establishing the necessity of certain functions to the job in question”).</w:t>
      </w:r>
    </w:p>
    <w:p w14:paraId="3615140D" w14:textId="77777777" w:rsidR="00361E35" w:rsidRPr="0031187B" w:rsidRDefault="00361E35" w:rsidP="00056B6A">
      <w:pPr>
        <w:pStyle w:val="FootnoteText"/>
        <w:jc w:val="both"/>
        <w:rPr>
          <w:sz w:val="24"/>
        </w:rPr>
      </w:pPr>
    </w:p>
  </w:footnote>
  <w:footnote w:id="5">
    <w:p w14:paraId="43676384" w14:textId="081D29EF" w:rsidR="005441D0" w:rsidRPr="0031187B" w:rsidRDefault="005441D0" w:rsidP="00056B6A">
      <w:pPr>
        <w:pStyle w:val="FootnoteText"/>
        <w:jc w:val="both"/>
        <w:rPr>
          <w:sz w:val="24"/>
        </w:rPr>
      </w:pPr>
      <w:r w:rsidRPr="0031187B">
        <w:rPr>
          <w:rStyle w:val="FootnoteReference"/>
          <w:sz w:val="24"/>
        </w:rPr>
        <w:footnoteRef/>
      </w:r>
      <w:r w:rsidRPr="0031187B">
        <w:rPr>
          <w:sz w:val="24"/>
        </w:rPr>
        <w:t xml:space="preserve"> </w:t>
      </w:r>
      <w:r w:rsidR="0092000D" w:rsidRPr="0031187B">
        <w:rPr>
          <w:sz w:val="24"/>
        </w:rPr>
        <w:t xml:space="preserve"> </w:t>
      </w:r>
      <w:r w:rsidRPr="0031187B">
        <w:rPr>
          <w:sz w:val="24"/>
        </w:rPr>
        <w:t xml:space="preserve">These principles are drawn directly from 29 </w:t>
      </w:r>
      <w:r w:rsidRPr="0031187B">
        <w:rPr>
          <w:i/>
          <w:sz w:val="24"/>
        </w:rPr>
        <w:t>C.F.R.</w:t>
      </w:r>
      <w:r w:rsidRPr="0031187B">
        <w:rPr>
          <w:sz w:val="24"/>
        </w:rPr>
        <w:t xml:space="preserve"> §1630.2(n), which is the federal regulation defining “essential functions” under the federal Americans with Disabilities Act.  There is no definition of “essential functions” in the New Jersey Law Against Discrimination, the New Jersey regulations promulgated under the statute, or New Jersey state court case law interpreting the statute.</w:t>
      </w:r>
    </w:p>
  </w:footnote>
  <w:footnote w:id="6">
    <w:p w14:paraId="706186BB" w14:textId="009AAC62" w:rsidR="005441D0" w:rsidRPr="0031187B" w:rsidRDefault="005441D0" w:rsidP="00056B6A">
      <w:pPr>
        <w:pStyle w:val="FootnoteText"/>
        <w:jc w:val="both"/>
        <w:rPr>
          <w:sz w:val="24"/>
        </w:rPr>
      </w:pPr>
      <w:r w:rsidRPr="0031187B">
        <w:rPr>
          <w:rStyle w:val="FootnoteReference"/>
          <w:sz w:val="24"/>
        </w:rPr>
        <w:footnoteRef/>
      </w:r>
      <w:r w:rsidRPr="0031187B">
        <w:rPr>
          <w:sz w:val="24"/>
        </w:rPr>
        <w:t xml:space="preserve"> </w:t>
      </w:r>
      <w:r w:rsidR="00056B6A" w:rsidRPr="0031187B">
        <w:rPr>
          <w:sz w:val="24"/>
        </w:rPr>
        <w:t xml:space="preserve"> </w:t>
      </w:r>
      <w:r w:rsidRPr="0031187B">
        <w:rPr>
          <w:i/>
          <w:sz w:val="24"/>
        </w:rPr>
        <w:t>Tynan v. Vicinage 13 of Superior Court of New Jersey</w:t>
      </w:r>
      <w:r w:rsidRPr="0031187B">
        <w:rPr>
          <w:sz w:val="24"/>
        </w:rPr>
        <w:t xml:space="preserve">, 351 </w:t>
      </w:r>
      <w:r w:rsidRPr="0031187B">
        <w:rPr>
          <w:i/>
          <w:sz w:val="24"/>
        </w:rPr>
        <w:t>N.J. Super</w:t>
      </w:r>
      <w:r w:rsidRPr="0031187B">
        <w:rPr>
          <w:sz w:val="24"/>
        </w:rPr>
        <w:t>. 385, 400 (App. Div. 2002)</w:t>
      </w:r>
      <w:r w:rsidR="009A40C4" w:rsidRPr="0031187B">
        <w:rPr>
          <w:sz w:val="24"/>
        </w:rPr>
        <w:t xml:space="preserve">, </w:t>
      </w:r>
      <w:r w:rsidR="009A40C4" w:rsidRPr="0031187B">
        <w:rPr>
          <w:i/>
          <w:sz w:val="24"/>
        </w:rPr>
        <w:t>certif. denied</w:t>
      </w:r>
      <w:r w:rsidR="009A40C4" w:rsidRPr="0031187B">
        <w:rPr>
          <w:sz w:val="24"/>
        </w:rPr>
        <w:t xml:space="preserve">, 183 </w:t>
      </w:r>
      <w:r w:rsidR="009A40C4" w:rsidRPr="0031187B">
        <w:rPr>
          <w:i/>
          <w:sz w:val="24"/>
        </w:rPr>
        <w:t>N.J</w:t>
      </w:r>
      <w:r w:rsidR="009A40C4" w:rsidRPr="0031187B">
        <w:rPr>
          <w:sz w:val="24"/>
        </w:rPr>
        <w:t>. 215 (2005)</w:t>
      </w:r>
      <w:r w:rsidRPr="0031187B">
        <w:rPr>
          <w:sz w:val="24"/>
        </w:rPr>
        <w:t>.</w:t>
      </w:r>
    </w:p>
    <w:p w14:paraId="47132F64" w14:textId="77777777" w:rsidR="00811451" w:rsidRPr="0031187B" w:rsidRDefault="00811451" w:rsidP="00056B6A">
      <w:pPr>
        <w:pStyle w:val="FootnoteText"/>
        <w:jc w:val="both"/>
        <w:rPr>
          <w:sz w:val="24"/>
        </w:rPr>
      </w:pPr>
    </w:p>
  </w:footnote>
  <w:footnote w:id="7">
    <w:p w14:paraId="687AB495" w14:textId="19027B06" w:rsidR="005441D0" w:rsidRPr="0031187B" w:rsidRDefault="005441D0" w:rsidP="00056B6A">
      <w:pPr>
        <w:pStyle w:val="FootnoteText"/>
        <w:jc w:val="both"/>
        <w:rPr>
          <w:sz w:val="24"/>
        </w:rPr>
      </w:pPr>
      <w:r w:rsidRPr="0031187B">
        <w:rPr>
          <w:rStyle w:val="FootnoteReference"/>
          <w:sz w:val="24"/>
        </w:rPr>
        <w:footnoteRef/>
      </w:r>
      <w:r w:rsidRPr="0031187B">
        <w:rPr>
          <w:sz w:val="24"/>
        </w:rPr>
        <w:t xml:space="preserve"> </w:t>
      </w:r>
      <w:r w:rsidR="00811451" w:rsidRPr="0031187B">
        <w:rPr>
          <w:sz w:val="24"/>
        </w:rPr>
        <w:t xml:space="preserve"> </w:t>
      </w:r>
      <w:r w:rsidRPr="0031187B">
        <w:rPr>
          <w:i/>
          <w:sz w:val="24"/>
        </w:rPr>
        <w:t>Ibid</w:t>
      </w:r>
      <w:r w:rsidRPr="0031187B">
        <w:rPr>
          <w:sz w:val="24"/>
        </w:rPr>
        <w:t>.</w:t>
      </w:r>
    </w:p>
  </w:footnote>
  <w:footnote w:id="8">
    <w:p w14:paraId="2EB2DD21" w14:textId="77777777" w:rsidR="00811451" w:rsidRPr="0031187B" w:rsidRDefault="00811451" w:rsidP="00056B6A">
      <w:pPr>
        <w:pStyle w:val="FootnoteText"/>
        <w:jc w:val="both"/>
        <w:rPr>
          <w:sz w:val="24"/>
        </w:rPr>
      </w:pPr>
    </w:p>
    <w:p w14:paraId="466EB3B0" w14:textId="15DAE234" w:rsidR="005441D0" w:rsidRPr="0031187B" w:rsidRDefault="005441D0" w:rsidP="00056B6A">
      <w:pPr>
        <w:pStyle w:val="FootnoteText"/>
        <w:jc w:val="both"/>
        <w:rPr>
          <w:sz w:val="24"/>
        </w:rPr>
      </w:pPr>
      <w:r w:rsidRPr="0031187B">
        <w:rPr>
          <w:rStyle w:val="FootnoteReference"/>
          <w:sz w:val="24"/>
        </w:rPr>
        <w:footnoteRef/>
      </w:r>
      <w:r w:rsidRPr="0031187B">
        <w:rPr>
          <w:sz w:val="24"/>
        </w:rPr>
        <w:t xml:space="preserve"> </w:t>
      </w:r>
      <w:r w:rsidR="00811451" w:rsidRPr="0031187B">
        <w:rPr>
          <w:sz w:val="24"/>
        </w:rPr>
        <w:t xml:space="preserve"> </w:t>
      </w:r>
      <w:r w:rsidRPr="0031187B">
        <w:rPr>
          <w:i/>
          <w:sz w:val="24"/>
        </w:rPr>
        <w:t>Ibid</w:t>
      </w:r>
      <w:r w:rsidRPr="0031187B">
        <w:rPr>
          <w:sz w:val="24"/>
        </w:rPr>
        <w:t>.</w:t>
      </w:r>
    </w:p>
    <w:p w14:paraId="092497B2" w14:textId="77777777" w:rsidR="00811451" w:rsidRPr="0031187B" w:rsidRDefault="00811451" w:rsidP="00056B6A">
      <w:pPr>
        <w:pStyle w:val="FootnoteText"/>
        <w:jc w:val="both"/>
        <w:rPr>
          <w:sz w:val="24"/>
          <w:u w:val="single"/>
        </w:rPr>
      </w:pPr>
    </w:p>
  </w:footnote>
  <w:footnote w:id="9">
    <w:p w14:paraId="1FF02E92" w14:textId="4E120543" w:rsidR="005441D0" w:rsidRPr="0031187B" w:rsidRDefault="005441D0" w:rsidP="00056B6A">
      <w:pPr>
        <w:pStyle w:val="FootnoteText"/>
        <w:jc w:val="both"/>
        <w:rPr>
          <w:sz w:val="24"/>
        </w:rPr>
      </w:pPr>
      <w:r w:rsidRPr="0031187B">
        <w:rPr>
          <w:rStyle w:val="FootnoteReference"/>
          <w:sz w:val="24"/>
        </w:rPr>
        <w:footnoteRef/>
      </w:r>
      <w:r w:rsidRPr="0031187B">
        <w:rPr>
          <w:sz w:val="24"/>
        </w:rPr>
        <w:t xml:space="preserve"> </w:t>
      </w:r>
      <w:r w:rsidR="00811451" w:rsidRPr="0031187B">
        <w:rPr>
          <w:sz w:val="24"/>
        </w:rPr>
        <w:t xml:space="preserve"> </w:t>
      </w:r>
      <w:r w:rsidRPr="0031187B">
        <w:rPr>
          <w:i/>
          <w:sz w:val="24"/>
        </w:rPr>
        <w:t>See, e.g., Lasky v. Borough of Hightstown</w:t>
      </w:r>
      <w:r w:rsidRPr="0031187B">
        <w:rPr>
          <w:sz w:val="24"/>
        </w:rPr>
        <w:t xml:space="preserve">, 426 </w:t>
      </w:r>
      <w:r w:rsidRPr="0031187B">
        <w:rPr>
          <w:i/>
          <w:sz w:val="24"/>
        </w:rPr>
        <w:t>N.J. Super</w:t>
      </w:r>
      <w:r w:rsidRPr="0031187B">
        <w:rPr>
          <w:sz w:val="24"/>
        </w:rPr>
        <w:t xml:space="preserve">. 68, 78 (App. Div. 2012) (holding that when plaintiff’s need for accommodation is obvious, there is no requirement that plaintiff request accommodation before filing suit </w:t>
      </w:r>
      <w:proofErr w:type="gramStart"/>
      <w:r w:rsidRPr="0031187B">
        <w:rPr>
          <w:sz w:val="24"/>
        </w:rPr>
        <w:t>in order to</w:t>
      </w:r>
      <w:proofErr w:type="gramEnd"/>
      <w:r w:rsidRPr="0031187B">
        <w:rPr>
          <w:sz w:val="24"/>
        </w:rPr>
        <w:t xml:space="preserve"> prevail on failure-to-accommodate claim); </w:t>
      </w:r>
      <w:r w:rsidRPr="0031187B">
        <w:rPr>
          <w:i/>
          <w:sz w:val="24"/>
        </w:rPr>
        <w:t>N.J.A.C</w:t>
      </w:r>
      <w:r w:rsidRPr="0031187B">
        <w:rPr>
          <w:sz w:val="24"/>
        </w:rPr>
        <w:t>. 13:13-2.5(b)(2) (requiring employer to consider reasonable accommodation before firing, demoting, or refusing to hire or promote person with disability on grounds that disability precludes job performance).</w:t>
      </w:r>
    </w:p>
  </w:footnote>
  <w:footnote w:id="10">
    <w:p w14:paraId="5C376364" w14:textId="275AD321" w:rsidR="005441D0" w:rsidRPr="0031187B" w:rsidRDefault="005441D0" w:rsidP="00056B6A">
      <w:pPr>
        <w:pStyle w:val="FootnoteText"/>
        <w:jc w:val="both"/>
        <w:rPr>
          <w:sz w:val="24"/>
        </w:rPr>
      </w:pPr>
      <w:r w:rsidRPr="0031187B">
        <w:rPr>
          <w:rStyle w:val="FootnoteReference"/>
          <w:sz w:val="24"/>
        </w:rPr>
        <w:footnoteRef/>
      </w:r>
      <w:r w:rsidRPr="0031187B">
        <w:rPr>
          <w:sz w:val="24"/>
        </w:rPr>
        <w:t xml:space="preserve"> </w:t>
      </w:r>
      <w:r w:rsidR="00361E35" w:rsidRPr="0031187B">
        <w:rPr>
          <w:sz w:val="24"/>
        </w:rPr>
        <w:t xml:space="preserve"> </w:t>
      </w:r>
      <w:r w:rsidRPr="0031187B">
        <w:rPr>
          <w:sz w:val="24"/>
        </w:rPr>
        <w:t xml:space="preserve">This list of potential accommodations is drawn from </w:t>
      </w:r>
      <w:r w:rsidRPr="0031187B">
        <w:rPr>
          <w:i/>
          <w:sz w:val="24"/>
        </w:rPr>
        <w:t>N.J.A.C.</w:t>
      </w:r>
      <w:r w:rsidRPr="0031187B">
        <w:rPr>
          <w:sz w:val="24"/>
        </w:rPr>
        <w:t xml:space="preserve"> 13:13-2.5(b)(1).  It is not intended to be exhaustive.</w:t>
      </w:r>
    </w:p>
    <w:p w14:paraId="0CDFCE38" w14:textId="77777777" w:rsidR="00811451" w:rsidRPr="0031187B" w:rsidRDefault="00811451" w:rsidP="00056B6A">
      <w:pPr>
        <w:pStyle w:val="FootnoteText"/>
        <w:jc w:val="both"/>
        <w:rPr>
          <w:sz w:val="24"/>
        </w:rPr>
      </w:pPr>
    </w:p>
  </w:footnote>
  <w:footnote w:id="11">
    <w:p w14:paraId="53ECD0B0" w14:textId="590579D8" w:rsidR="005441D0" w:rsidRPr="0031187B" w:rsidRDefault="005441D0" w:rsidP="00056B6A">
      <w:pPr>
        <w:pStyle w:val="FootnoteText"/>
        <w:jc w:val="both"/>
        <w:rPr>
          <w:sz w:val="24"/>
        </w:rPr>
      </w:pPr>
      <w:r w:rsidRPr="0031187B">
        <w:rPr>
          <w:rStyle w:val="FootnoteReference"/>
          <w:sz w:val="24"/>
        </w:rPr>
        <w:footnoteRef/>
      </w:r>
      <w:r w:rsidRPr="0031187B">
        <w:rPr>
          <w:sz w:val="24"/>
        </w:rPr>
        <w:t xml:space="preserve"> </w:t>
      </w:r>
      <w:r w:rsidR="00361E35" w:rsidRPr="0031187B">
        <w:rPr>
          <w:sz w:val="24"/>
        </w:rPr>
        <w:t xml:space="preserve"> </w:t>
      </w:r>
      <w:r w:rsidRPr="0031187B">
        <w:rPr>
          <w:i/>
          <w:sz w:val="24"/>
        </w:rPr>
        <w:t>Victor v. State</w:t>
      </w:r>
      <w:r w:rsidRPr="0031187B">
        <w:rPr>
          <w:sz w:val="24"/>
        </w:rPr>
        <w:t xml:space="preserve">, 203 </w:t>
      </w:r>
      <w:r w:rsidRPr="0031187B">
        <w:rPr>
          <w:i/>
          <w:sz w:val="24"/>
        </w:rPr>
        <w:t>N.J</w:t>
      </w:r>
      <w:r w:rsidRPr="0031187B">
        <w:rPr>
          <w:sz w:val="24"/>
        </w:rPr>
        <w:t>. 383, 424 (2010).</w:t>
      </w:r>
    </w:p>
    <w:p w14:paraId="45A93F37" w14:textId="77777777" w:rsidR="00811451" w:rsidRPr="0031187B" w:rsidRDefault="00811451" w:rsidP="00056B6A">
      <w:pPr>
        <w:pStyle w:val="FootnoteText"/>
        <w:jc w:val="both"/>
        <w:rPr>
          <w:sz w:val="24"/>
        </w:rPr>
      </w:pPr>
    </w:p>
  </w:footnote>
  <w:footnote w:id="12">
    <w:p w14:paraId="3F0ED637" w14:textId="17DEF23B" w:rsidR="005441D0" w:rsidRPr="0031187B" w:rsidRDefault="005441D0" w:rsidP="00056B6A">
      <w:pPr>
        <w:pStyle w:val="FootnoteText"/>
        <w:jc w:val="both"/>
        <w:rPr>
          <w:sz w:val="24"/>
        </w:rPr>
      </w:pPr>
      <w:r w:rsidRPr="0031187B">
        <w:rPr>
          <w:rStyle w:val="FootnoteReference"/>
          <w:sz w:val="24"/>
        </w:rPr>
        <w:footnoteRef/>
      </w:r>
      <w:r w:rsidR="00361E35" w:rsidRPr="0031187B">
        <w:rPr>
          <w:sz w:val="24"/>
        </w:rPr>
        <w:t xml:space="preserve"> </w:t>
      </w:r>
      <w:r w:rsidRPr="0031187B">
        <w:rPr>
          <w:sz w:val="24"/>
        </w:rPr>
        <w:t xml:space="preserve"> </w:t>
      </w:r>
      <w:r w:rsidRPr="0031187B">
        <w:rPr>
          <w:i/>
          <w:sz w:val="24"/>
        </w:rPr>
        <w:t>N.J.A.C</w:t>
      </w:r>
      <w:r w:rsidR="00141532" w:rsidRPr="0031187B">
        <w:rPr>
          <w:i/>
          <w:sz w:val="24"/>
        </w:rPr>
        <w:t>.</w:t>
      </w:r>
      <w:r w:rsidRPr="0031187B">
        <w:rPr>
          <w:sz w:val="24"/>
        </w:rPr>
        <w:t xml:space="preserve"> 13:13-2.5(b) (requiring employer to provide reasonable accommodation “unless the employer can demonstrate that the accommodation would impose an undue hardship on the operation of its business”).</w:t>
      </w:r>
    </w:p>
  </w:footnote>
  <w:footnote w:id="13">
    <w:p w14:paraId="373CD37F" w14:textId="514FE907" w:rsidR="005441D0" w:rsidRPr="0031187B" w:rsidRDefault="005441D0" w:rsidP="00056B6A">
      <w:pPr>
        <w:pStyle w:val="FootnoteText"/>
        <w:jc w:val="both"/>
        <w:rPr>
          <w:sz w:val="24"/>
        </w:rPr>
      </w:pPr>
      <w:r w:rsidRPr="0031187B">
        <w:rPr>
          <w:rStyle w:val="FootnoteReference"/>
          <w:sz w:val="24"/>
        </w:rPr>
        <w:footnoteRef/>
      </w:r>
      <w:r w:rsidR="00361E35" w:rsidRPr="0031187B">
        <w:rPr>
          <w:sz w:val="24"/>
        </w:rPr>
        <w:t xml:space="preserve"> </w:t>
      </w:r>
      <w:r w:rsidRPr="0031187B">
        <w:rPr>
          <w:sz w:val="24"/>
        </w:rPr>
        <w:t xml:space="preserve"> </w:t>
      </w:r>
      <w:r w:rsidRPr="0031187B">
        <w:rPr>
          <w:i/>
          <w:sz w:val="24"/>
        </w:rPr>
        <w:t>N.J.A.C.</w:t>
      </w:r>
      <w:r w:rsidRPr="0031187B">
        <w:rPr>
          <w:sz w:val="24"/>
        </w:rPr>
        <w:t xml:space="preserve"> 13:13-2.5(b)(3).</w:t>
      </w:r>
    </w:p>
    <w:p w14:paraId="01AB95A7" w14:textId="77777777" w:rsidR="00361E35" w:rsidRPr="0031187B" w:rsidRDefault="00361E35" w:rsidP="00056B6A">
      <w:pPr>
        <w:pStyle w:val="FootnoteText"/>
        <w:jc w:val="both"/>
        <w:rPr>
          <w:sz w:val="24"/>
        </w:rPr>
      </w:pPr>
    </w:p>
  </w:footnote>
  <w:footnote w:id="14">
    <w:p w14:paraId="1F41C26B" w14:textId="4D075F34" w:rsidR="00E66ADB" w:rsidRPr="0031187B" w:rsidRDefault="00E66ADB" w:rsidP="00056B6A">
      <w:pPr>
        <w:pStyle w:val="FootnoteText"/>
        <w:jc w:val="both"/>
        <w:rPr>
          <w:sz w:val="24"/>
        </w:rPr>
      </w:pPr>
      <w:r w:rsidRPr="0031187B">
        <w:rPr>
          <w:rStyle w:val="FootnoteReference"/>
          <w:sz w:val="24"/>
        </w:rPr>
        <w:footnoteRef/>
      </w:r>
      <w:r w:rsidR="00361E35" w:rsidRPr="0031187B">
        <w:rPr>
          <w:sz w:val="24"/>
        </w:rPr>
        <w:t xml:space="preserve"> </w:t>
      </w:r>
      <w:r w:rsidRPr="0031187B">
        <w:rPr>
          <w:sz w:val="24"/>
        </w:rPr>
        <w:t xml:space="preserve"> </w:t>
      </w:r>
      <w:r w:rsidRPr="0031187B">
        <w:rPr>
          <w:i/>
          <w:sz w:val="24"/>
        </w:rPr>
        <w:t>Tynan</w:t>
      </w:r>
      <w:r w:rsidRPr="0031187B">
        <w:rPr>
          <w:sz w:val="24"/>
        </w:rPr>
        <w:t xml:space="preserve">, 351 </w:t>
      </w:r>
      <w:r w:rsidRPr="0031187B">
        <w:rPr>
          <w:i/>
          <w:sz w:val="24"/>
        </w:rPr>
        <w:t>N.J. Super</w:t>
      </w:r>
      <w:r w:rsidRPr="0031187B">
        <w:rPr>
          <w:sz w:val="24"/>
        </w:rPr>
        <w:t xml:space="preserve">. </w:t>
      </w:r>
      <w:r w:rsidR="00795B7F">
        <w:rPr>
          <w:sz w:val="24"/>
        </w:rPr>
        <w:t xml:space="preserve">at </w:t>
      </w:r>
      <w:r w:rsidRPr="0031187B">
        <w:rPr>
          <w:sz w:val="24"/>
        </w:rPr>
        <w:t>400.</w:t>
      </w:r>
    </w:p>
    <w:p w14:paraId="4CDF80B9" w14:textId="77777777" w:rsidR="00811451" w:rsidRPr="0031187B" w:rsidRDefault="00811451" w:rsidP="00056B6A">
      <w:pPr>
        <w:pStyle w:val="FootnoteText"/>
        <w:jc w:val="both"/>
        <w:rPr>
          <w:i/>
          <w:sz w:val="24"/>
        </w:rPr>
      </w:pPr>
    </w:p>
  </w:footnote>
  <w:footnote w:id="15">
    <w:p w14:paraId="4D93D3E4" w14:textId="609742CD" w:rsidR="00434F0A" w:rsidRDefault="00434F0A" w:rsidP="00056B6A">
      <w:pPr>
        <w:pStyle w:val="FootnoteText"/>
        <w:jc w:val="both"/>
        <w:rPr>
          <w:i/>
          <w:iCs/>
          <w:sz w:val="24"/>
        </w:rPr>
      </w:pPr>
      <w:r w:rsidRPr="0031187B">
        <w:rPr>
          <w:rStyle w:val="FootnoteReference"/>
          <w:sz w:val="24"/>
        </w:rPr>
        <w:footnoteRef/>
      </w:r>
      <w:r w:rsidRPr="0031187B">
        <w:rPr>
          <w:sz w:val="24"/>
        </w:rPr>
        <w:t xml:space="preserve"> </w:t>
      </w:r>
      <w:r w:rsidR="00056B6A" w:rsidRPr="0031187B">
        <w:rPr>
          <w:sz w:val="24"/>
        </w:rPr>
        <w:t xml:space="preserve"> </w:t>
      </w:r>
      <w:r w:rsidRPr="0031187B">
        <w:rPr>
          <w:i/>
          <w:iCs/>
          <w:sz w:val="24"/>
        </w:rPr>
        <w:t>Ibid.</w:t>
      </w:r>
    </w:p>
    <w:p w14:paraId="25EA8EC9" w14:textId="77777777" w:rsidR="00BF0C2E" w:rsidRPr="0031187B" w:rsidRDefault="00BF0C2E" w:rsidP="00056B6A">
      <w:pPr>
        <w:pStyle w:val="FootnoteText"/>
        <w:jc w:val="both"/>
        <w:rPr>
          <w:sz w:val="24"/>
        </w:rPr>
      </w:pPr>
    </w:p>
  </w:footnote>
  <w:footnote w:id="16">
    <w:p w14:paraId="38CC48B4" w14:textId="2C8E68E7" w:rsidR="00E66ADB" w:rsidRPr="0031187B" w:rsidRDefault="00E66ADB" w:rsidP="00056B6A">
      <w:pPr>
        <w:pStyle w:val="FootnoteText"/>
        <w:jc w:val="both"/>
        <w:rPr>
          <w:sz w:val="24"/>
        </w:rPr>
      </w:pPr>
      <w:r w:rsidRPr="0031187B">
        <w:rPr>
          <w:rStyle w:val="FootnoteReference"/>
          <w:sz w:val="24"/>
        </w:rPr>
        <w:footnoteRef/>
      </w:r>
      <w:r w:rsidRPr="0031187B">
        <w:rPr>
          <w:sz w:val="24"/>
        </w:rPr>
        <w:t xml:space="preserve"> </w:t>
      </w:r>
      <w:r w:rsidR="00056B6A" w:rsidRPr="0031187B">
        <w:rPr>
          <w:sz w:val="24"/>
        </w:rPr>
        <w:t xml:space="preserve"> </w:t>
      </w:r>
      <w:r w:rsidRPr="0031187B">
        <w:rPr>
          <w:i/>
          <w:sz w:val="24"/>
        </w:rPr>
        <w:t xml:space="preserve">Victor, </w:t>
      </w:r>
      <w:r w:rsidRPr="0031187B">
        <w:rPr>
          <w:sz w:val="24"/>
        </w:rPr>
        <w:t xml:space="preserve">203 </w:t>
      </w:r>
      <w:r w:rsidRPr="0031187B">
        <w:rPr>
          <w:i/>
          <w:sz w:val="24"/>
        </w:rPr>
        <w:t>N.J</w:t>
      </w:r>
      <w:r w:rsidRPr="0031187B">
        <w:rPr>
          <w:sz w:val="24"/>
        </w:rPr>
        <w:t xml:space="preserve">. </w:t>
      </w:r>
      <w:r w:rsidR="00795B7F">
        <w:rPr>
          <w:sz w:val="24"/>
        </w:rPr>
        <w:t xml:space="preserve">at </w:t>
      </w:r>
      <w:r w:rsidRPr="0031187B">
        <w:rPr>
          <w:sz w:val="24"/>
        </w:rPr>
        <w:t>424.</w:t>
      </w:r>
    </w:p>
    <w:p w14:paraId="7DC769ED" w14:textId="77777777" w:rsidR="00811451" w:rsidRPr="0031187B" w:rsidRDefault="00811451" w:rsidP="00056B6A">
      <w:pPr>
        <w:pStyle w:val="FootnoteText"/>
        <w:jc w:val="both"/>
        <w:rPr>
          <w:i/>
          <w:sz w:val="24"/>
        </w:rPr>
      </w:pPr>
    </w:p>
  </w:footnote>
  <w:footnote w:id="17">
    <w:p w14:paraId="1D9503C0" w14:textId="3DBCB729" w:rsidR="002C2902" w:rsidRPr="0031187B" w:rsidRDefault="002C2902" w:rsidP="00056B6A">
      <w:pPr>
        <w:pStyle w:val="FootnoteText"/>
        <w:jc w:val="both"/>
        <w:rPr>
          <w:sz w:val="24"/>
        </w:rPr>
      </w:pPr>
      <w:r w:rsidRPr="0031187B">
        <w:rPr>
          <w:rStyle w:val="FootnoteReference"/>
          <w:sz w:val="24"/>
        </w:rPr>
        <w:footnoteRef/>
      </w:r>
      <w:r w:rsidRPr="0031187B">
        <w:rPr>
          <w:sz w:val="24"/>
        </w:rPr>
        <w:t xml:space="preserve"> </w:t>
      </w:r>
      <w:r w:rsidR="00056B6A" w:rsidRPr="0031187B">
        <w:rPr>
          <w:sz w:val="24"/>
        </w:rPr>
        <w:t xml:space="preserve"> </w:t>
      </w:r>
      <w:r w:rsidRPr="0031187B">
        <w:rPr>
          <w:i/>
          <w:sz w:val="24"/>
        </w:rPr>
        <w:t>N.J.A.C.</w:t>
      </w:r>
      <w:r w:rsidRPr="0031187B">
        <w:rPr>
          <w:sz w:val="24"/>
        </w:rPr>
        <w:t xml:space="preserve"> 13:13-2.5(b) (requiring employer to provide reasonable accommodation “unless the employer can demonstrate that the accommodation would impose an undue hardship on the operation of its business”).</w:t>
      </w:r>
    </w:p>
    <w:p w14:paraId="34E13983" w14:textId="77777777" w:rsidR="00361E35" w:rsidRPr="0031187B" w:rsidRDefault="00361E35" w:rsidP="00056B6A">
      <w:pPr>
        <w:pStyle w:val="FootnoteText"/>
        <w:jc w:val="both"/>
        <w:rPr>
          <w:sz w:val="24"/>
        </w:rPr>
      </w:pPr>
    </w:p>
  </w:footnote>
  <w:footnote w:id="18">
    <w:p w14:paraId="78BDAC3F" w14:textId="7AEF4396" w:rsidR="002C2902" w:rsidRPr="0031187B" w:rsidRDefault="002C2902" w:rsidP="00056B6A">
      <w:pPr>
        <w:pStyle w:val="FootnoteText"/>
        <w:jc w:val="both"/>
        <w:rPr>
          <w:sz w:val="24"/>
        </w:rPr>
      </w:pPr>
      <w:r w:rsidRPr="0031187B">
        <w:rPr>
          <w:rStyle w:val="FootnoteReference"/>
          <w:sz w:val="24"/>
        </w:rPr>
        <w:footnoteRef/>
      </w:r>
      <w:r w:rsidRPr="0031187B">
        <w:rPr>
          <w:sz w:val="24"/>
        </w:rPr>
        <w:t xml:space="preserve"> </w:t>
      </w:r>
      <w:r w:rsidR="00056B6A" w:rsidRPr="0031187B">
        <w:rPr>
          <w:sz w:val="24"/>
        </w:rPr>
        <w:t xml:space="preserve"> </w:t>
      </w:r>
      <w:r w:rsidRPr="0031187B">
        <w:rPr>
          <w:i/>
          <w:sz w:val="24"/>
        </w:rPr>
        <w:t>N.J.A.C.</w:t>
      </w:r>
      <w:r w:rsidRPr="0031187B">
        <w:rPr>
          <w:sz w:val="24"/>
        </w:rPr>
        <w:t xml:space="preserve"> 13:13-2.5(b)(3).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Bold" w:hAnsi="Times New Roman Bold"/>
        <w:b/>
      </w:rPr>
      <w:id w:val="1302502201"/>
      <w:docPartObj>
        <w:docPartGallery w:val="Page Numbers (Top of Page)"/>
        <w:docPartUnique/>
      </w:docPartObj>
    </w:sdtPr>
    <w:sdtEndPr/>
    <w:sdtContent>
      <w:p w14:paraId="1F0DECF4" w14:textId="017080FD" w:rsidR="0092000D" w:rsidRDefault="0092000D" w:rsidP="0031187B">
        <w:pPr>
          <w:pStyle w:val="Footer"/>
          <w:tabs>
            <w:tab w:val="clear" w:pos="4320"/>
            <w:tab w:val="clear" w:pos="8640"/>
          </w:tabs>
          <w:jc w:val="right"/>
          <w:rPr>
            <w:rFonts w:ascii="Times New Roman Bold" w:hAnsi="Times New Roman Bold"/>
            <w:b/>
          </w:rPr>
        </w:pPr>
        <w:r>
          <w:rPr>
            <w:rFonts w:ascii="Times New Roman Bold" w:hAnsi="Times New Roman Bold"/>
            <w:b/>
          </w:rPr>
          <w:t xml:space="preserve">CHARGE 2.26 – </w:t>
        </w:r>
        <w:r w:rsidRPr="00717B39">
          <w:rPr>
            <w:rFonts w:ascii="Times New Roman Bold" w:hAnsi="Times New Roman Bold"/>
            <w:b/>
          </w:rPr>
          <w:t xml:space="preserve">Page </w:t>
        </w:r>
        <w:r w:rsidRPr="00717B39">
          <w:rPr>
            <w:rFonts w:ascii="Times New Roman Bold" w:hAnsi="Times New Roman Bold"/>
            <w:b/>
            <w:bCs/>
            <w:szCs w:val="24"/>
          </w:rPr>
          <w:fldChar w:fldCharType="begin"/>
        </w:r>
        <w:r w:rsidRPr="00717B39">
          <w:rPr>
            <w:rFonts w:ascii="Times New Roman Bold" w:hAnsi="Times New Roman Bold"/>
            <w:b/>
            <w:bCs/>
          </w:rPr>
          <w:instrText xml:space="preserve"> PAGE </w:instrText>
        </w:r>
        <w:r w:rsidRPr="00717B39">
          <w:rPr>
            <w:rFonts w:ascii="Times New Roman Bold" w:hAnsi="Times New Roman Bold"/>
            <w:b/>
            <w:bCs/>
            <w:szCs w:val="24"/>
          </w:rPr>
          <w:fldChar w:fldCharType="separate"/>
        </w:r>
        <w:r w:rsidR="002910A1">
          <w:rPr>
            <w:rFonts w:ascii="Times New Roman Bold" w:hAnsi="Times New Roman Bold"/>
            <w:b/>
            <w:bCs/>
            <w:noProof/>
          </w:rPr>
          <w:t>2</w:t>
        </w:r>
        <w:r w:rsidRPr="00717B39">
          <w:rPr>
            <w:rFonts w:ascii="Times New Roman Bold" w:hAnsi="Times New Roman Bold"/>
            <w:b/>
            <w:bCs/>
            <w:szCs w:val="24"/>
          </w:rPr>
          <w:fldChar w:fldCharType="end"/>
        </w:r>
        <w:r w:rsidRPr="00717B39">
          <w:rPr>
            <w:rFonts w:ascii="Times New Roman Bold" w:hAnsi="Times New Roman Bold"/>
            <w:b/>
          </w:rPr>
          <w:t xml:space="preserve"> of </w:t>
        </w:r>
        <w:r w:rsidRPr="00717B39">
          <w:rPr>
            <w:rFonts w:ascii="Times New Roman Bold" w:hAnsi="Times New Roman Bold"/>
            <w:b/>
            <w:bCs/>
            <w:szCs w:val="24"/>
          </w:rPr>
          <w:fldChar w:fldCharType="begin"/>
        </w:r>
        <w:r w:rsidRPr="00717B39">
          <w:rPr>
            <w:rFonts w:ascii="Times New Roman Bold" w:hAnsi="Times New Roman Bold"/>
            <w:b/>
            <w:bCs/>
          </w:rPr>
          <w:instrText xml:space="preserve"> NUMPAGES  </w:instrText>
        </w:r>
        <w:r w:rsidRPr="00717B39">
          <w:rPr>
            <w:rFonts w:ascii="Times New Roman Bold" w:hAnsi="Times New Roman Bold"/>
            <w:b/>
            <w:bCs/>
            <w:szCs w:val="24"/>
          </w:rPr>
          <w:fldChar w:fldCharType="separate"/>
        </w:r>
        <w:r w:rsidR="002910A1">
          <w:rPr>
            <w:rFonts w:ascii="Times New Roman Bold" w:hAnsi="Times New Roman Bold"/>
            <w:b/>
            <w:bCs/>
            <w:noProof/>
          </w:rPr>
          <w:t>8</w:t>
        </w:r>
        <w:r w:rsidRPr="00717B39">
          <w:rPr>
            <w:rFonts w:ascii="Times New Roman Bold" w:hAnsi="Times New Roman Bold"/>
            <w:b/>
            <w:bCs/>
            <w:szCs w:val="24"/>
          </w:rPr>
          <w:fldChar w:fldCharType="end"/>
        </w:r>
      </w:p>
    </w:sdtContent>
  </w:sdt>
  <w:p w14:paraId="1AC3BC20" w14:textId="77777777" w:rsidR="0092000D" w:rsidRDefault="00920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51DA"/>
    <w:multiLevelType w:val="hybridMultilevel"/>
    <w:tmpl w:val="F98400DC"/>
    <w:lvl w:ilvl="0" w:tplc="779874E6">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FB5A75"/>
    <w:multiLevelType w:val="hybridMultilevel"/>
    <w:tmpl w:val="07744936"/>
    <w:lvl w:ilvl="0" w:tplc="8CAE89C6">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398442CC"/>
    <w:multiLevelType w:val="hybridMultilevel"/>
    <w:tmpl w:val="F9DC0182"/>
    <w:lvl w:ilvl="0" w:tplc="1214CFF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323DB1"/>
    <w:multiLevelType w:val="hybridMultilevel"/>
    <w:tmpl w:val="EED2AEE2"/>
    <w:lvl w:ilvl="0" w:tplc="1944AC14">
      <w:start w:val="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44B0AB1"/>
    <w:multiLevelType w:val="hybridMultilevel"/>
    <w:tmpl w:val="7188D842"/>
    <w:lvl w:ilvl="0" w:tplc="6080AD5E">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C116ACE"/>
    <w:multiLevelType w:val="hybridMultilevel"/>
    <w:tmpl w:val="06C03DB4"/>
    <w:lvl w:ilvl="0" w:tplc="0CB4C84E">
      <w:start w:val="5"/>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66441115">
    <w:abstractNumId w:val="3"/>
  </w:num>
  <w:num w:numId="2" w16cid:durableId="2025208912">
    <w:abstractNumId w:val="5"/>
  </w:num>
  <w:num w:numId="3" w16cid:durableId="409692523">
    <w:abstractNumId w:val="4"/>
  </w:num>
  <w:num w:numId="4" w16cid:durableId="1414473339">
    <w:abstractNumId w:val="1"/>
  </w:num>
  <w:num w:numId="5" w16cid:durableId="2109540857">
    <w:abstractNumId w:val="0"/>
  </w:num>
  <w:num w:numId="6" w16cid:durableId="194923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WSACTIVELLP:9632255.1"/>
    <w:docVar w:name="MPDocIDTemplate" w:val="%l:%n.%v"/>
    <w:docVar w:name="MPDocIDTemplateDefault" w:val="%l:%n.%v"/>
    <w:docVar w:name="NewDocStampType" w:val="7"/>
  </w:docVars>
  <w:rsids>
    <w:rsidRoot w:val="00FA57A1"/>
    <w:rsid w:val="00042F9E"/>
    <w:rsid w:val="000521A9"/>
    <w:rsid w:val="00056B6A"/>
    <w:rsid w:val="00062473"/>
    <w:rsid w:val="000749D5"/>
    <w:rsid w:val="000767AF"/>
    <w:rsid w:val="00086B04"/>
    <w:rsid w:val="00087DA0"/>
    <w:rsid w:val="00092995"/>
    <w:rsid w:val="000A4EBF"/>
    <w:rsid w:val="000A636B"/>
    <w:rsid w:val="000B604F"/>
    <w:rsid w:val="000C4D02"/>
    <w:rsid w:val="000D23B2"/>
    <w:rsid w:val="000D446C"/>
    <w:rsid w:val="000E799F"/>
    <w:rsid w:val="000F3DFD"/>
    <w:rsid w:val="000F5596"/>
    <w:rsid w:val="0010596B"/>
    <w:rsid w:val="00141532"/>
    <w:rsid w:val="0014290D"/>
    <w:rsid w:val="001A7178"/>
    <w:rsid w:val="001B2B95"/>
    <w:rsid w:val="001F2994"/>
    <w:rsid w:val="001F55A6"/>
    <w:rsid w:val="00212A45"/>
    <w:rsid w:val="00216875"/>
    <w:rsid w:val="002233BD"/>
    <w:rsid w:val="002509BD"/>
    <w:rsid w:val="002743DF"/>
    <w:rsid w:val="002744CC"/>
    <w:rsid w:val="00281D25"/>
    <w:rsid w:val="002910A1"/>
    <w:rsid w:val="00292005"/>
    <w:rsid w:val="0029533E"/>
    <w:rsid w:val="002A0C21"/>
    <w:rsid w:val="002A3100"/>
    <w:rsid w:val="002A5721"/>
    <w:rsid w:val="002C2902"/>
    <w:rsid w:val="002C528C"/>
    <w:rsid w:val="002D5B60"/>
    <w:rsid w:val="002E050B"/>
    <w:rsid w:val="002E4909"/>
    <w:rsid w:val="00302A4E"/>
    <w:rsid w:val="0031187B"/>
    <w:rsid w:val="00320FF1"/>
    <w:rsid w:val="0035116B"/>
    <w:rsid w:val="0035140A"/>
    <w:rsid w:val="00351466"/>
    <w:rsid w:val="00361E35"/>
    <w:rsid w:val="00382ACE"/>
    <w:rsid w:val="003909F4"/>
    <w:rsid w:val="003A5484"/>
    <w:rsid w:val="003B102A"/>
    <w:rsid w:val="003C3996"/>
    <w:rsid w:val="003F3FFA"/>
    <w:rsid w:val="003F770E"/>
    <w:rsid w:val="0040217D"/>
    <w:rsid w:val="00425D79"/>
    <w:rsid w:val="00426751"/>
    <w:rsid w:val="00433869"/>
    <w:rsid w:val="00434F0A"/>
    <w:rsid w:val="004412EF"/>
    <w:rsid w:val="004430EA"/>
    <w:rsid w:val="004447EA"/>
    <w:rsid w:val="004677E0"/>
    <w:rsid w:val="004779B4"/>
    <w:rsid w:val="00481386"/>
    <w:rsid w:val="00493E8F"/>
    <w:rsid w:val="004A2CCB"/>
    <w:rsid w:val="004C1AF1"/>
    <w:rsid w:val="004D52AF"/>
    <w:rsid w:val="004F023C"/>
    <w:rsid w:val="004F39D6"/>
    <w:rsid w:val="0050743C"/>
    <w:rsid w:val="005168CB"/>
    <w:rsid w:val="00525074"/>
    <w:rsid w:val="00541489"/>
    <w:rsid w:val="005441D0"/>
    <w:rsid w:val="0054658A"/>
    <w:rsid w:val="00547064"/>
    <w:rsid w:val="005806A7"/>
    <w:rsid w:val="005920FA"/>
    <w:rsid w:val="005940C3"/>
    <w:rsid w:val="005F0785"/>
    <w:rsid w:val="00601F5F"/>
    <w:rsid w:val="00604973"/>
    <w:rsid w:val="00614BB0"/>
    <w:rsid w:val="00622276"/>
    <w:rsid w:val="00634798"/>
    <w:rsid w:val="006531E1"/>
    <w:rsid w:val="006563E5"/>
    <w:rsid w:val="00671CF1"/>
    <w:rsid w:val="0068562A"/>
    <w:rsid w:val="0069237D"/>
    <w:rsid w:val="0069525E"/>
    <w:rsid w:val="006D1234"/>
    <w:rsid w:val="006F0601"/>
    <w:rsid w:val="00706132"/>
    <w:rsid w:val="00712C81"/>
    <w:rsid w:val="00717B39"/>
    <w:rsid w:val="00722BE9"/>
    <w:rsid w:val="00724274"/>
    <w:rsid w:val="007277D7"/>
    <w:rsid w:val="007465FE"/>
    <w:rsid w:val="00746DF3"/>
    <w:rsid w:val="00750406"/>
    <w:rsid w:val="00753561"/>
    <w:rsid w:val="007562C3"/>
    <w:rsid w:val="007576E8"/>
    <w:rsid w:val="00795B7F"/>
    <w:rsid w:val="007A18F4"/>
    <w:rsid w:val="007C2E92"/>
    <w:rsid w:val="007D045E"/>
    <w:rsid w:val="007D095D"/>
    <w:rsid w:val="007D375F"/>
    <w:rsid w:val="007D6AAC"/>
    <w:rsid w:val="007E1526"/>
    <w:rsid w:val="007E40A5"/>
    <w:rsid w:val="007F5DBD"/>
    <w:rsid w:val="00811451"/>
    <w:rsid w:val="00825C8A"/>
    <w:rsid w:val="008275C0"/>
    <w:rsid w:val="00834437"/>
    <w:rsid w:val="00841C25"/>
    <w:rsid w:val="00864EB3"/>
    <w:rsid w:val="0086593D"/>
    <w:rsid w:val="00871F03"/>
    <w:rsid w:val="00877486"/>
    <w:rsid w:val="00887E15"/>
    <w:rsid w:val="00890C79"/>
    <w:rsid w:val="008A1504"/>
    <w:rsid w:val="00902DAF"/>
    <w:rsid w:val="00917A40"/>
    <w:rsid w:val="0092000D"/>
    <w:rsid w:val="00953051"/>
    <w:rsid w:val="00981860"/>
    <w:rsid w:val="00981B3C"/>
    <w:rsid w:val="0099148D"/>
    <w:rsid w:val="009944D4"/>
    <w:rsid w:val="009A40C4"/>
    <w:rsid w:val="009A6AEC"/>
    <w:rsid w:val="009C22E8"/>
    <w:rsid w:val="009E4847"/>
    <w:rsid w:val="009F2D17"/>
    <w:rsid w:val="009F6C7F"/>
    <w:rsid w:val="00A3056B"/>
    <w:rsid w:val="00A4161A"/>
    <w:rsid w:val="00A77B96"/>
    <w:rsid w:val="00A879E5"/>
    <w:rsid w:val="00A93412"/>
    <w:rsid w:val="00AA1969"/>
    <w:rsid w:val="00AB1F38"/>
    <w:rsid w:val="00AD22CC"/>
    <w:rsid w:val="00B01942"/>
    <w:rsid w:val="00B04BED"/>
    <w:rsid w:val="00B22079"/>
    <w:rsid w:val="00B443EC"/>
    <w:rsid w:val="00B46C7B"/>
    <w:rsid w:val="00B525C9"/>
    <w:rsid w:val="00B5275A"/>
    <w:rsid w:val="00B57153"/>
    <w:rsid w:val="00B61A4E"/>
    <w:rsid w:val="00B66863"/>
    <w:rsid w:val="00B824FD"/>
    <w:rsid w:val="00B84842"/>
    <w:rsid w:val="00BA4819"/>
    <w:rsid w:val="00BB4658"/>
    <w:rsid w:val="00BB7DB8"/>
    <w:rsid w:val="00BC654B"/>
    <w:rsid w:val="00BC6E16"/>
    <w:rsid w:val="00BD0A6A"/>
    <w:rsid w:val="00BD0F4C"/>
    <w:rsid w:val="00BD2EB5"/>
    <w:rsid w:val="00BE1539"/>
    <w:rsid w:val="00BF0C2E"/>
    <w:rsid w:val="00C112BF"/>
    <w:rsid w:val="00C118CA"/>
    <w:rsid w:val="00C11FBC"/>
    <w:rsid w:val="00C1394A"/>
    <w:rsid w:val="00C6569E"/>
    <w:rsid w:val="00C81329"/>
    <w:rsid w:val="00C854A7"/>
    <w:rsid w:val="00C96822"/>
    <w:rsid w:val="00C97470"/>
    <w:rsid w:val="00CC37AD"/>
    <w:rsid w:val="00D2533A"/>
    <w:rsid w:val="00D34C1A"/>
    <w:rsid w:val="00D744BB"/>
    <w:rsid w:val="00D832DC"/>
    <w:rsid w:val="00D94636"/>
    <w:rsid w:val="00DA075A"/>
    <w:rsid w:val="00DB75F2"/>
    <w:rsid w:val="00DC1FC2"/>
    <w:rsid w:val="00DC4D52"/>
    <w:rsid w:val="00DD1AB4"/>
    <w:rsid w:val="00DD20C2"/>
    <w:rsid w:val="00DD7266"/>
    <w:rsid w:val="00DF0B0D"/>
    <w:rsid w:val="00DF34DA"/>
    <w:rsid w:val="00E00E98"/>
    <w:rsid w:val="00E12A3F"/>
    <w:rsid w:val="00E16908"/>
    <w:rsid w:val="00E17333"/>
    <w:rsid w:val="00E57D77"/>
    <w:rsid w:val="00E62F6C"/>
    <w:rsid w:val="00E66648"/>
    <w:rsid w:val="00E66ADB"/>
    <w:rsid w:val="00EA5382"/>
    <w:rsid w:val="00EB40C7"/>
    <w:rsid w:val="00ED5B26"/>
    <w:rsid w:val="00EE2FC8"/>
    <w:rsid w:val="00EF7666"/>
    <w:rsid w:val="00F032EC"/>
    <w:rsid w:val="00F04F2C"/>
    <w:rsid w:val="00F12F3B"/>
    <w:rsid w:val="00F336E8"/>
    <w:rsid w:val="00F43AC6"/>
    <w:rsid w:val="00F50253"/>
    <w:rsid w:val="00F56024"/>
    <w:rsid w:val="00F82C30"/>
    <w:rsid w:val="00F9405E"/>
    <w:rsid w:val="00FA57A1"/>
    <w:rsid w:val="00FB35A8"/>
    <w:rsid w:val="00FD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039505"/>
  <w15:docId w15:val="{D3E2162B-9B7D-4658-8BC0-76F7B9A0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0"/>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0"/>
        <w:tab w:val="left" w:pos="720"/>
      </w:tabs>
      <w:spacing w:after="240" w:line="240" w:lineRule="atLeast"/>
      <w:ind w:left="1440" w:hanging="1440"/>
      <w:jc w:val="both"/>
    </w:pPr>
    <w:rPr>
      <w:b/>
      <w:bCs/>
      <w:spacing w:val="-3"/>
    </w:rPr>
  </w:style>
  <w:style w:type="paragraph" w:styleId="BodyTextIndent2">
    <w:name w:val="Body Text Indent 2"/>
    <w:basedOn w:val="Normal"/>
    <w:pPr>
      <w:tabs>
        <w:tab w:val="left" w:pos="-720"/>
        <w:tab w:val="left" w:pos="0"/>
        <w:tab w:val="left" w:pos="720"/>
      </w:tabs>
      <w:ind w:left="2160" w:hanging="2160"/>
      <w:jc w:val="both"/>
    </w:pPr>
    <w:rPr>
      <w:spacing w:val="-3"/>
    </w:rPr>
  </w:style>
  <w:style w:type="paragraph" w:styleId="BalloonText">
    <w:name w:val="Balloon Text"/>
    <w:basedOn w:val="Normal"/>
    <w:semiHidden/>
    <w:rsid w:val="00FA57A1"/>
    <w:rPr>
      <w:rFonts w:ascii="Tahoma" w:hAnsi="Tahoma" w:cs="Tahoma"/>
      <w:sz w:val="16"/>
      <w:szCs w:val="16"/>
    </w:rPr>
  </w:style>
  <w:style w:type="paragraph" w:styleId="BodyText">
    <w:name w:val="Body Text"/>
    <w:basedOn w:val="Normal"/>
    <w:rsid w:val="00092995"/>
    <w:pPr>
      <w:tabs>
        <w:tab w:val="left" w:pos="-720"/>
      </w:tabs>
      <w:spacing w:line="480" w:lineRule="atLeast"/>
      <w:jc w:val="both"/>
    </w:pPr>
    <w:rPr>
      <w:spacing w:val="-3"/>
    </w:rPr>
  </w:style>
  <w:style w:type="paragraph" w:styleId="Revision">
    <w:name w:val="Revision"/>
    <w:hidden/>
    <w:uiPriority w:val="99"/>
    <w:semiHidden/>
    <w:rsid w:val="00493E8F"/>
    <w:rPr>
      <w:sz w:val="28"/>
      <w:szCs w:val="28"/>
    </w:rPr>
  </w:style>
  <w:style w:type="character" w:customStyle="1" w:styleId="HeaderChar">
    <w:name w:val="Header Char"/>
    <w:basedOn w:val="DefaultParagraphFont"/>
    <w:link w:val="Header"/>
    <w:uiPriority w:val="99"/>
    <w:rsid w:val="00717B39"/>
    <w:rPr>
      <w:sz w:val="28"/>
      <w:szCs w:val="28"/>
    </w:rPr>
  </w:style>
  <w:style w:type="character" w:customStyle="1" w:styleId="FooterChar">
    <w:name w:val="Footer Char"/>
    <w:basedOn w:val="DefaultParagraphFont"/>
    <w:link w:val="Footer"/>
    <w:uiPriority w:val="99"/>
    <w:rsid w:val="00717B39"/>
    <w:rPr>
      <w:sz w:val="28"/>
      <w:szCs w:val="28"/>
    </w:rPr>
  </w:style>
  <w:style w:type="character" w:customStyle="1" w:styleId="FootnoteTextChar">
    <w:name w:val="Footnote Text Char"/>
    <w:basedOn w:val="DefaultParagraphFont"/>
    <w:link w:val="FootnoteText"/>
    <w:semiHidden/>
    <w:rsid w:val="00525074"/>
    <w:rPr>
      <w:szCs w:val="24"/>
    </w:rPr>
  </w:style>
  <w:style w:type="paragraph" w:styleId="CommentSubject">
    <w:name w:val="annotation subject"/>
    <w:basedOn w:val="CommentText"/>
    <w:next w:val="CommentText"/>
    <w:link w:val="CommentSubjectChar"/>
    <w:semiHidden/>
    <w:unhideWhenUsed/>
    <w:rsid w:val="00434F0A"/>
    <w:rPr>
      <w:b/>
      <w:bCs/>
    </w:rPr>
  </w:style>
  <w:style w:type="character" w:customStyle="1" w:styleId="CommentTextChar">
    <w:name w:val="Comment Text Char"/>
    <w:basedOn w:val="DefaultParagraphFont"/>
    <w:link w:val="CommentText"/>
    <w:semiHidden/>
    <w:rsid w:val="00434F0A"/>
  </w:style>
  <w:style w:type="character" w:customStyle="1" w:styleId="CommentSubjectChar">
    <w:name w:val="Comment Subject Char"/>
    <w:basedOn w:val="CommentTextChar"/>
    <w:link w:val="CommentSubject"/>
    <w:semiHidden/>
    <w:rsid w:val="00434F0A"/>
    <w:rPr>
      <w:b/>
      <w:bCs/>
    </w:rPr>
  </w:style>
  <w:style w:type="character" w:customStyle="1" w:styleId="zzmpTrailerItem">
    <w:name w:val="zzmpTrailerItem"/>
    <w:basedOn w:val="DefaultParagraphFont"/>
    <w:rsid w:val="00722BE9"/>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41FE-6676-4EA2-985A-0ABC5EAE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8</Pages>
  <Words>1457</Words>
  <Characters>8060</Characters>
  <Application>Microsoft Office Word</Application>
  <DocSecurity>0</DocSecurity>
  <PresentationFormat/>
  <Lines>67</Lines>
  <Paragraphs>18</Paragraphs>
  <ScaleCrop>false</ScaleCrop>
  <HeadingPairs>
    <vt:vector size="2" baseType="variant">
      <vt:variant>
        <vt:lpstr>Title</vt:lpstr>
      </vt:variant>
      <vt:variant>
        <vt:i4>1</vt:i4>
      </vt:variant>
    </vt:vector>
  </HeadingPairs>
  <TitlesOfParts>
    <vt:vector size="1" baseType="lpstr">
      <vt:lpstr>9-8-21 Proposed MCJC 2.26 (MB089450).DOCX</vt:lpstr>
    </vt:vector>
  </TitlesOfParts>
  <Company>State of NJ-Judiciary</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9-8-21 Proposed MCJC 2.26 (MB089450).DOCX</dc:title>
  <dc:creator>PC307704</dc:creator>
  <cp:lastModifiedBy>Kristi Robinson</cp:lastModifiedBy>
  <cp:revision>8</cp:revision>
  <cp:lastPrinted>2018-02-21T17:00:00Z</cp:lastPrinted>
  <dcterms:created xsi:type="dcterms:W3CDTF">2021-09-08T16:56:00Z</dcterms:created>
  <dcterms:modified xsi:type="dcterms:W3CDTF">2022-10-20T18:38:00Z</dcterms:modified>
</cp:coreProperties>
</file>