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1834" w14:textId="2100EF20" w:rsidR="00ED5B26" w:rsidRPr="009C2738" w:rsidRDefault="009A6AEC" w:rsidP="00887092">
      <w:pPr>
        <w:pStyle w:val="BodyTextIndent"/>
        <w:widowControl/>
        <w:tabs>
          <w:tab w:val="clear" w:pos="-720"/>
          <w:tab w:val="clear" w:pos="0"/>
          <w:tab w:val="clear" w:pos="720"/>
        </w:tabs>
        <w:spacing w:after="0" w:line="240" w:lineRule="auto"/>
        <w:jc w:val="left"/>
        <w:rPr>
          <w:b w:val="0"/>
          <w:bCs w:val="0"/>
          <w:spacing w:val="0"/>
        </w:rPr>
      </w:pPr>
      <w:r w:rsidRPr="009C2738">
        <w:rPr>
          <w:spacing w:val="0"/>
        </w:rPr>
        <w:t>2.2</w:t>
      </w:r>
      <w:r w:rsidR="004D52AF" w:rsidRPr="009C2738">
        <w:rPr>
          <w:spacing w:val="0"/>
        </w:rPr>
        <w:t>6</w:t>
      </w:r>
      <w:r w:rsidR="0014290D" w:rsidRPr="009C2738">
        <w:rPr>
          <w:spacing w:val="0"/>
        </w:rPr>
        <w:tab/>
      </w:r>
      <w:r w:rsidR="005F0785" w:rsidRPr="009C2738">
        <w:rPr>
          <w:caps/>
          <w:spacing w:val="0"/>
        </w:rPr>
        <w:t xml:space="preserve">failure to ACCOMMODATe employee with Disability </w:t>
      </w:r>
      <w:r w:rsidR="00E62F6C" w:rsidRPr="009C2738">
        <w:rPr>
          <w:caps/>
          <w:spacing w:val="0"/>
        </w:rPr>
        <w:t>under the New Jersey law Again</w:t>
      </w:r>
      <w:r w:rsidR="005F0785" w:rsidRPr="009C2738">
        <w:rPr>
          <w:caps/>
          <w:spacing w:val="0"/>
        </w:rPr>
        <w:t>s</w:t>
      </w:r>
      <w:r w:rsidR="00E62F6C" w:rsidRPr="009C2738">
        <w:rPr>
          <w:caps/>
          <w:spacing w:val="0"/>
        </w:rPr>
        <w:t>t Discrimination</w:t>
      </w:r>
      <w:r w:rsidR="00FB35A8" w:rsidRPr="009C2738">
        <w:rPr>
          <w:caps/>
          <w:spacing w:val="0"/>
        </w:rPr>
        <w:t xml:space="preserve"> </w:t>
      </w:r>
      <w:bookmarkStart w:id="0" w:name="Text1"/>
      <w:r w:rsidR="005806A7" w:rsidRPr="009C2738">
        <w:rPr>
          <w:b w:val="0"/>
          <w:bCs w:val="0"/>
          <w:caps/>
          <w:spacing w:val="0"/>
        </w:rPr>
        <w:t>(A</w:t>
      </w:r>
      <w:r w:rsidR="005806A7" w:rsidRPr="009C2738">
        <w:rPr>
          <w:b w:val="0"/>
          <w:bCs w:val="0"/>
          <w:spacing w:val="0"/>
        </w:rPr>
        <w:t>pproved</w:t>
      </w:r>
      <w:r w:rsidR="005806A7" w:rsidRPr="009C2738">
        <w:rPr>
          <w:b w:val="0"/>
          <w:bCs w:val="0"/>
          <w:caps/>
          <w:spacing w:val="0"/>
        </w:rPr>
        <w:t xml:space="preserve"> 02/2013; r</w:t>
      </w:r>
      <w:r w:rsidR="005806A7" w:rsidRPr="009C2738">
        <w:rPr>
          <w:b w:val="0"/>
          <w:bCs w:val="0"/>
          <w:spacing w:val="0"/>
        </w:rPr>
        <w:t>evised</w:t>
      </w:r>
      <w:r w:rsidR="005806A7" w:rsidRPr="009C2738">
        <w:rPr>
          <w:b w:val="0"/>
          <w:bCs w:val="0"/>
          <w:caps/>
          <w:spacing w:val="0"/>
        </w:rPr>
        <w:t xml:space="preserve"> </w:t>
      </w:r>
      <w:r w:rsidR="00887092" w:rsidRPr="009C2738">
        <w:rPr>
          <w:b w:val="0"/>
          <w:bCs w:val="0"/>
          <w:caps/>
          <w:spacing w:val="0"/>
        </w:rPr>
        <w:t>01/2025</w:t>
      </w:r>
      <w:r w:rsidR="005806A7" w:rsidRPr="009C2738">
        <w:rPr>
          <w:b w:val="0"/>
          <w:bCs w:val="0"/>
          <w:caps/>
          <w:spacing w:val="0"/>
        </w:rPr>
        <w:t>)</w:t>
      </w:r>
      <w:r w:rsidR="005806A7" w:rsidRPr="009C2738" w:rsidDel="005806A7">
        <w:rPr>
          <w:b w:val="0"/>
          <w:bCs w:val="0"/>
          <w:spacing w:val="0"/>
        </w:rPr>
        <w:t xml:space="preserve"> </w:t>
      </w:r>
      <w:bookmarkEnd w:id="0"/>
    </w:p>
    <w:p w14:paraId="36B3FB9A" w14:textId="77777777" w:rsidR="00F203C0" w:rsidRPr="009C2738" w:rsidRDefault="00F203C0" w:rsidP="00887092">
      <w:pPr>
        <w:pStyle w:val="BodyTextIndent"/>
        <w:widowControl/>
        <w:tabs>
          <w:tab w:val="clear" w:pos="-720"/>
          <w:tab w:val="clear" w:pos="0"/>
          <w:tab w:val="clear" w:pos="720"/>
        </w:tabs>
        <w:spacing w:after="0" w:line="240" w:lineRule="auto"/>
        <w:contextualSpacing/>
        <w:jc w:val="left"/>
        <w:rPr>
          <w:spacing w:val="0"/>
        </w:rPr>
      </w:pPr>
    </w:p>
    <w:p w14:paraId="783D9209" w14:textId="77777777" w:rsidR="00887092" w:rsidRPr="009C2738" w:rsidRDefault="00887092" w:rsidP="00887092">
      <w:pPr>
        <w:pStyle w:val="BodyTextIndent"/>
        <w:widowControl/>
        <w:tabs>
          <w:tab w:val="clear" w:pos="-720"/>
          <w:tab w:val="clear" w:pos="0"/>
          <w:tab w:val="clear" w:pos="720"/>
        </w:tabs>
        <w:spacing w:after="0" w:line="240" w:lineRule="auto"/>
        <w:contextualSpacing/>
        <w:jc w:val="left"/>
        <w:rPr>
          <w:spacing w:val="0"/>
        </w:rPr>
      </w:pPr>
    </w:p>
    <w:p w14:paraId="46E4755E" w14:textId="77777777" w:rsidR="00F203C0" w:rsidRPr="009C2738" w:rsidRDefault="00F203C0" w:rsidP="00887092">
      <w:pPr>
        <w:widowControl/>
        <w:jc w:val="center"/>
        <w:rPr>
          <w:b/>
          <w:bCs/>
          <w:i/>
          <w:iCs/>
        </w:rPr>
      </w:pPr>
      <w:bookmarkStart w:id="1" w:name="a2_22G"/>
      <w:bookmarkEnd w:id="1"/>
      <w:r w:rsidRPr="009C2738">
        <w:rPr>
          <w:b/>
          <w:bCs/>
          <w:i/>
          <w:iCs/>
        </w:rPr>
        <w:t>NOTE TO JUDGE</w:t>
      </w:r>
    </w:p>
    <w:p w14:paraId="667F1BB8" w14:textId="74143B22" w:rsidR="00F203C0" w:rsidRPr="009C2738" w:rsidRDefault="00F203C0" w:rsidP="00887092">
      <w:pPr>
        <w:widowControl/>
        <w:contextualSpacing/>
        <w:rPr>
          <w:b/>
          <w:bCs/>
        </w:rPr>
      </w:pPr>
    </w:p>
    <w:p w14:paraId="45776200" w14:textId="1592FCDC" w:rsidR="00F203C0" w:rsidRPr="009C2738" w:rsidRDefault="00F203C0" w:rsidP="00887092">
      <w:pPr>
        <w:widowControl/>
        <w:ind w:left="720" w:right="720"/>
        <w:jc w:val="both"/>
      </w:pPr>
      <w:r w:rsidRPr="009C2738">
        <w:t>The instructions set forth herein apply to claim</w:t>
      </w:r>
      <w:r w:rsidR="00887092" w:rsidRPr="009C2738">
        <w:t>s</w:t>
      </w:r>
      <w:r w:rsidRPr="009C2738">
        <w:t xml:space="preserve"> of failure to accommodate a disability within the context of a past or present employment relationship.  In </w:t>
      </w:r>
      <w:r w:rsidRPr="009C2738">
        <w:rPr>
          <w:i/>
          <w:iCs/>
        </w:rPr>
        <w:t xml:space="preserve">Players Place II Condo. Ass’n, Inc. v. K.P., </w:t>
      </w:r>
      <w:r w:rsidRPr="009C2738">
        <w:t>256</w:t>
      </w:r>
      <w:r w:rsidRPr="009C2738">
        <w:rPr>
          <w:i/>
          <w:iCs/>
        </w:rPr>
        <w:t xml:space="preserve"> N.J. </w:t>
      </w:r>
      <w:r w:rsidRPr="009C2738">
        <w:t>472 (2024), the Supreme Court held that requests for reasonable accommodation(s) in housing under New Jersey’s Law Against Discrimination (</w:t>
      </w:r>
      <w:r w:rsidR="00887092" w:rsidRPr="009C2738">
        <w:t>“</w:t>
      </w:r>
      <w:r w:rsidRPr="009C2738">
        <w:t>LAD</w:t>
      </w:r>
      <w:r w:rsidR="00887092" w:rsidRPr="009C2738">
        <w:t>”</w:t>
      </w:r>
      <w:r w:rsidRPr="009C2738">
        <w:t>) should be evaluated using a similar, albeit abridged, framework.</w:t>
      </w:r>
    </w:p>
    <w:p w14:paraId="420251D0" w14:textId="77777777" w:rsidR="00887092" w:rsidRPr="009C2738" w:rsidRDefault="00887092" w:rsidP="00887092">
      <w:pPr>
        <w:widowControl/>
        <w:ind w:left="720" w:right="720"/>
        <w:jc w:val="both"/>
      </w:pPr>
    </w:p>
    <w:p w14:paraId="0FF78573" w14:textId="39BB8EF9" w:rsidR="00F203C0" w:rsidRPr="009C2738" w:rsidRDefault="00F203C0" w:rsidP="00887092">
      <w:pPr>
        <w:widowControl/>
        <w:ind w:left="720" w:right="720"/>
        <w:jc w:val="both"/>
        <w:rPr>
          <w:color w:val="212121"/>
          <w:shd w:val="clear" w:color="auto" w:fill="FFFFFF"/>
        </w:rPr>
      </w:pPr>
      <w:r w:rsidRPr="009C2738">
        <w:t>Specifically, “[i]</w:t>
      </w:r>
      <w:r w:rsidRPr="009C2738">
        <w:rPr>
          <w:color w:val="212121"/>
          <w:shd w:val="clear" w:color="auto" w:fill="FFFFFF"/>
        </w:rPr>
        <w:t xml:space="preserve">ndividuals who seek an accommodation must show that they have a disability under the LAD and demonstrate that the requested accommodation may be necessary to afford them an ‘equal opportunity to use and enjoy a dwelling.’  </w:t>
      </w:r>
      <w:r w:rsidRPr="009C2738">
        <w:rPr>
          <w:bdr w:val="none" w:sz="0" w:space="0" w:color="auto" w:frame="1"/>
          <w:shd w:val="clear" w:color="auto" w:fill="FFFFFF"/>
        </w:rPr>
        <w:t>N.J.A.C. 13:13-3.4(f)(2)</w:t>
      </w:r>
      <w:r w:rsidRPr="009C2738">
        <w:rPr>
          <w:color w:val="212121"/>
          <w:shd w:val="clear" w:color="auto" w:fill="FFFFFF"/>
        </w:rPr>
        <w:t xml:space="preserve">.  Housing providers then have the burden to prove the requested accommodation is unreasonable.”  </w:t>
      </w:r>
      <w:r w:rsidRPr="009C2738">
        <w:rPr>
          <w:i/>
          <w:iCs/>
        </w:rPr>
        <w:t xml:space="preserve">Players Place II, </w:t>
      </w:r>
      <w:r w:rsidRPr="009C2738">
        <w:t>256</w:t>
      </w:r>
      <w:r w:rsidRPr="009C2738">
        <w:rPr>
          <w:i/>
          <w:iCs/>
        </w:rPr>
        <w:t xml:space="preserve"> N.J. at </w:t>
      </w:r>
      <w:r w:rsidRPr="009C2738">
        <w:t xml:space="preserve">493.  </w:t>
      </w:r>
      <w:r w:rsidRPr="009C2738">
        <w:rPr>
          <w:color w:val="212121"/>
          <w:shd w:val="clear" w:color="auto" w:fill="FFFFFF"/>
        </w:rPr>
        <w:t xml:space="preserve">In a collaborative and interactive process, </w:t>
      </w:r>
      <w:proofErr w:type="gramStart"/>
      <w:r w:rsidRPr="009C2738">
        <w:rPr>
          <w:color w:val="212121"/>
          <w:shd w:val="clear" w:color="auto" w:fill="FFFFFF"/>
        </w:rPr>
        <w:t>similar to</w:t>
      </w:r>
      <w:proofErr w:type="gramEnd"/>
      <w:r w:rsidRPr="009C2738">
        <w:rPr>
          <w:color w:val="212121"/>
          <w:shd w:val="clear" w:color="auto" w:fill="FFFFFF"/>
        </w:rPr>
        <w:t xml:space="preserve"> that required of employers and employees, parties should engage in a good-faith exchange of information relative to the accommodation request.  If the process fails, a </w:t>
      </w:r>
      <w:proofErr w:type="gramStart"/>
      <w:r w:rsidRPr="009C2738">
        <w:rPr>
          <w:color w:val="212121"/>
          <w:shd w:val="clear" w:color="auto" w:fill="FFFFFF"/>
        </w:rPr>
        <w:t>fact-finder</w:t>
      </w:r>
      <w:proofErr w:type="gramEnd"/>
      <w:r w:rsidRPr="009C2738">
        <w:rPr>
          <w:color w:val="212121"/>
          <w:shd w:val="clear" w:color="auto" w:fill="FFFFFF"/>
        </w:rPr>
        <w:t xml:space="preserve"> will be required to determine the reasonableness of the accommodation by balancing the need for, and benefits of</w:t>
      </w:r>
      <w:r w:rsidR="00887092" w:rsidRPr="009C2738">
        <w:rPr>
          <w:color w:val="212121"/>
          <w:shd w:val="clear" w:color="auto" w:fill="FFFFFF"/>
        </w:rPr>
        <w:t>,</w:t>
      </w:r>
      <w:r w:rsidRPr="009C2738">
        <w:rPr>
          <w:color w:val="212121"/>
          <w:shd w:val="clear" w:color="auto" w:fill="FFFFFF"/>
        </w:rPr>
        <w:t xml:space="preserve"> the requested accommodation to the resident against its costs and burdens to the housing provider.  </w:t>
      </w:r>
      <w:r w:rsidRPr="009C2738">
        <w:rPr>
          <w:i/>
          <w:iCs/>
          <w:color w:val="212121"/>
          <w:shd w:val="clear" w:color="auto" w:fill="FFFFFF"/>
        </w:rPr>
        <w:t>Id.  (</w:t>
      </w:r>
      <w:proofErr w:type="gramStart"/>
      <w:r w:rsidRPr="009C2738">
        <w:rPr>
          <w:color w:val="212121"/>
          <w:shd w:val="clear" w:color="auto" w:fill="FFFFFF"/>
        </w:rPr>
        <w:t>citing</w:t>
      </w:r>
      <w:proofErr w:type="gramEnd"/>
      <w:r w:rsidRPr="009C2738">
        <w:rPr>
          <w:color w:val="212121"/>
          <w:shd w:val="clear" w:color="auto" w:fill="FFFFFF"/>
        </w:rPr>
        <w:t xml:space="preserve"> </w:t>
      </w:r>
      <w:r w:rsidRPr="009C2738">
        <w:rPr>
          <w:i/>
          <w:iCs/>
          <w:color w:val="212121"/>
          <w:shd w:val="clear" w:color="auto" w:fill="FFFFFF"/>
        </w:rPr>
        <w:t>Oras v. Hous. Auth. of Bayonne</w:t>
      </w:r>
      <w:r w:rsidRPr="009C2738">
        <w:rPr>
          <w:color w:val="212121"/>
          <w:shd w:val="clear" w:color="auto" w:fill="FFFFFF"/>
        </w:rPr>
        <w:t xml:space="preserve">, 373 </w:t>
      </w:r>
      <w:r w:rsidRPr="009C2738">
        <w:rPr>
          <w:i/>
          <w:iCs/>
          <w:color w:val="212121"/>
          <w:shd w:val="clear" w:color="auto" w:fill="FFFFFF"/>
        </w:rPr>
        <w:t>N.J. Super.</w:t>
      </w:r>
      <w:r w:rsidRPr="009C2738">
        <w:rPr>
          <w:color w:val="212121"/>
          <w:shd w:val="clear" w:color="auto" w:fill="FFFFFF"/>
        </w:rPr>
        <w:t xml:space="preserve"> 302, 316-17 (App. Div. 2004)).</w:t>
      </w:r>
    </w:p>
    <w:p w14:paraId="79A7DFE8" w14:textId="77777777" w:rsidR="00887092" w:rsidRPr="009C2738" w:rsidRDefault="00887092" w:rsidP="00887092">
      <w:pPr>
        <w:widowControl/>
        <w:ind w:left="720" w:right="720"/>
        <w:jc w:val="both"/>
        <w:rPr>
          <w:color w:val="212121"/>
          <w:shd w:val="clear" w:color="auto" w:fill="FFFFFF"/>
        </w:rPr>
      </w:pPr>
    </w:p>
    <w:p w14:paraId="25C75263" w14:textId="2DA00A08" w:rsidR="00F203C0" w:rsidRPr="009C2738" w:rsidRDefault="00F203C0" w:rsidP="00887092">
      <w:pPr>
        <w:widowControl/>
        <w:ind w:left="720" w:right="720"/>
        <w:jc w:val="both"/>
        <w:rPr>
          <w:color w:val="212121"/>
          <w:shd w:val="clear" w:color="auto" w:fill="FFFFFF"/>
        </w:rPr>
      </w:pPr>
      <w:r w:rsidRPr="009C2738">
        <w:rPr>
          <w:color w:val="212121"/>
          <w:shd w:val="clear" w:color="auto" w:fill="FFFFFF"/>
        </w:rPr>
        <w:t xml:space="preserve">Accordingly, this charge can be modified as needed to address the specific facts of a failure to accommodate claim asserted against a housing provider – keeping in mind that a plaintiff resident must establish (1) diagnosis of a disability and (2) necessity of the accommodation.  </w:t>
      </w:r>
      <w:r w:rsidRPr="009C2738">
        <w:rPr>
          <w:i/>
          <w:iCs/>
        </w:rPr>
        <w:t xml:space="preserve">Players Place II, </w:t>
      </w:r>
      <w:r w:rsidRPr="009C2738">
        <w:t>256</w:t>
      </w:r>
      <w:r w:rsidRPr="009C2738">
        <w:rPr>
          <w:i/>
          <w:iCs/>
        </w:rPr>
        <w:t xml:space="preserve"> N.J. </w:t>
      </w:r>
      <w:r w:rsidRPr="009C2738">
        <w:t>at</w:t>
      </w:r>
      <w:r w:rsidRPr="009C2738">
        <w:rPr>
          <w:i/>
          <w:iCs/>
        </w:rPr>
        <w:t xml:space="preserve"> </w:t>
      </w:r>
      <w:r w:rsidRPr="009C2738">
        <w:t xml:space="preserve">494-95.  If a resident makes such a showing, the burden shifts to the housing provider to prove that the accommodation “would fundamentally alter the housing provider’s operations or impose an undue financial or administrative burden on the housing provider.”  </w:t>
      </w:r>
      <w:r w:rsidRPr="009C2738">
        <w:rPr>
          <w:i/>
          <w:iCs/>
        </w:rPr>
        <w:t>Id.</w:t>
      </w:r>
      <w:r w:rsidRPr="009C2738">
        <w:t xml:space="preserve"> at 497 (citing DCR Guidance materials regarding emotional support animals).  If either side fails to </w:t>
      </w:r>
      <w:r w:rsidRPr="009C2738">
        <w:lastRenderedPageBreak/>
        <w:t xml:space="preserve">meet its burden, the jury should be instructed to enter a verdict in favor of the adverse party. </w:t>
      </w:r>
    </w:p>
    <w:p w14:paraId="01725157" w14:textId="77777777" w:rsidR="00887092" w:rsidRPr="009C2738" w:rsidRDefault="00887092" w:rsidP="00887092">
      <w:pPr>
        <w:widowControl/>
        <w:ind w:left="720" w:right="720"/>
        <w:jc w:val="both"/>
        <w:rPr>
          <w:shd w:val="clear" w:color="auto" w:fill="FFFFFF"/>
        </w:rPr>
      </w:pPr>
    </w:p>
    <w:p w14:paraId="2BE9521A" w14:textId="2465C6DA" w:rsidR="00887092" w:rsidRPr="009C2738" w:rsidRDefault="00F203C0" w:rsidP="00887092">
      <w:pPr>
        <w:widowControl/>
        <w:ind w:left="720" w:right="720"/>
        <w:jc w:val="both"/>
        <w:rPr>
          <w:shd w:val="clear" w:color="auto" w:fill="FFFFFF"/>
        </w:rPr>
      </w:pPr>
      <w:r w:rsidRPr="009C2738">
        <w:rPr>
          <w:shd w:val="clear" w:color="auto" w:fill="FFFFFF"/>
        </w:rPr>
        <w:t>However, the interactive process described in this charge does not apply to individuals who use service animals</w:t>
      </w:r>
      <w:r w:rsidR="002B23EC" w:rsidRPr="009C2738">
        <w:rPr>
          <w:shd w:val="clear" w:color="auto" w:fill="FFFFFF"/>
        </w:rPr>
        <w:t>,</w:t>
      </w:r>
      <w:r w:rsidRPr="009C2738">
        <w:rPr>
          <w:shd w:val="clear" w:color="auto" w:fill="FFFFFF"/>
        </w:rPr>
        <w:t xml:space="preserve"> which are not subject to a balancing test.  </w:t>
      </w:r>
      <w:r w:rsidRPr="009C2738">
        <w:rPr>
          <w:bdr w:val="none" w:sz="0" w:space="0" w:color="auto" w:frame="1"/>
          <w:shd w:val="clear" w:color="auto" w:fill="FFFFFF"/>
        </w:rPr>
        <w:t>N.J.A.C. 13:13-3.4(c)</w:t>
      </w:r>
      <w:r w:rsidRPr="009C2738">
        <w:rPr>
          <w:shd w:val="clear" w:color="auto" w:fill="FFFFFF"/>
        </w:rPr>
        <w:t xml:space="preserve"> (“It is unlawful for any person to fail or refuse to show, rent or lease any real property to a person because he or she is a person with a disability who is accompanied by a guide or service dog or animal”).  “Service dog[s]” are “trained to the requirements of a person with a disability including</w:t>
      </w:r>
      <w:r w:rsidR="002B23EC" w:rsidRPr="009C2738">
        <w:rPr>
          <w:shd w:val="clear" w:color="auto" w:fill="FFFFFF"/>
        </w:rPr>
        <w:t xml:space="preserve"> </w:t>
      </w:r>
      <w:r w:rsidRPr="009C2738">
        <w:rPr>
          <w:shd w:val="clear" w:color="auto" w:fill="FFFFFF"/>
        </w:rPr>
        <w:t xml:space="preserve">… minimal protection work, rescue work, pulling a wheelchair or retrieving dropped items.”  </w:t>
      </w:r>
      <w:r w:rsidRPr="009C2738">
        <w:rPr>
          <w:bdr w:val="none" w:sz="0" w:space="0" w:color="auto" w:frame="1"/>
          <w:shd w:val="clear" w:color="auto" w:fill="FFFFFF"/>
        </w:rPr>
        <w:t>N.J.S.A. 10:5-5(dd)</w:t>
      </w:r>
      <w:r w:rsidRPr="009C2738">
        <w:rPr>
          <w:shd w:val="clear" w:color="auto" w:fill="FFFFFF"/>
        </w:rPr>
        <w:t>.  Therefore, this charge should not be used in connection with such a claim.</w:t>
      </w:r>
    </w:p>
    <w:p w14:paraId="1B453FD2" w14:textId="77777777" w:rsidR="00887092" w:rsidRPr="009C2738" w:rsidRDefault="00887092" w:rsidP="00887092">
      <w:pPr>
        <w:widowControl/>
        <w:ind w:left="720" w:right="720"/>
        <w:jc w:val="both"/>
        <w:rPr>
          <w:shd w:val="clear" w:color="auto" w:fill="FFFFFF"/>
        </w:rPr>
      </w:pPr>
    </w:p>
    <w:p w14:paraId="14F1AA6D" w14:textId="77777777" w:rsidR="00887092" w:rsidRPr="009C2738" w:rsidRDefault="00887092" w:rsidP="00887092">
      <w:pPr>
        <w:widowControl/>
        <w:ind w:left="720" w:right="720"/>
        <w:jc w:val="both"/>
        <w:rPr>
          <w:shd w:val="clear" w:color="auto" w:fill="FFFFFF"/>
        </w:rPr>
      </w:pPr>
    </w:p>
    <w:p w14:paraId="7CD73204" w14:textId="0002B556" w:rsidR="004779B4" w:rsidRPr="009C2738" w:rsidRDefault="004D52AF" w:rsidP="00887092">
      <w:pPr>
        <w:pStyle w:val="BodyTextIndent2"/>
        <w:widowControl/>
        <w:tabs>
          <w:tab w:val="clear" w:pos="-720"/>
          <w:tab w:val="clear" w:pos="0"/>
          <w:tab w:val="clear" w:pos="720"/>
        </w:tabs>
        <w:spacing w:line="480" w:lineRule="auto"/>
        <w:ind w:left="0" w:firstLine="0"/>
        <w:rPr>
          <w:spacing w:val="0"/>
        </w:rPr>
      </w:pPr>
      <w:r w:rsidRPr="009C2738">
        <w:rPr>
          <w:spacing w:val="0"/>
        </w:rPr>
        <w:tab/>
        <w:t xml:space="preserve">Plaintiff claims that defendant unlawfully failed to accommodate </w:t>
      </w:r>
      <w:r w:rsidR="005806A7" w:rsidRPr="009C2738">
        <w:rPr>
          <w:spacing w:val="0"/>
        </w:rPr>
        <w:t xml:space="preserve">plaintiff’s </w:t>
      </w:r>
      <w:r w:rsidRPr="009C2738">
        <w:rPr>
          <w:spacing w:val="0"/>
        </w:rPr>
        <w:t xml:space="preserve">disability.  Specifically, plaintiff argues that defendant should have </w:t>
      </w:r>
      <w:r w:rsidR="00382ACE" w:rsidRPr="009C2738">
        <w:rPr>
          <w:i/>
          <w:iCs/>
          <w:spacing w:val="0"/>
        </w:rPr>
        <w:t>[</w:t>
      </w:r>
      <w:r w:rsidRPr="009C2738">
        <w:rPr>
          <w:i/>
          <w:spacing w:val="0"/>
        </w:rPr>
        <w:t xml:space="preserve">insert description of accommodation at issue, such as </w:t>
      </w:r>
      <w:r w:rsidR="004779B4" w:rsidRPr="009C2738">
        <w:rPr>
          <w:i/>
          <w:spacing w:val="0"/>
        </w:rPr>
        <w:t xml:space="preserve">“modified </w:t>
      </w:r>
      <w:r w:rsidR="005806A7" w:rsidRPr="009C2738">
        <w:rPr>
          <w:i/>
          <w:spacing w:val="0"/>
        </w:rPr>
        <w:t xml:space="preserve">plaintiff’s </w:t>
      </w:r>
      <w:r w:rsidR="004779B4" w:rsidRPr="009C2738">
        <w:rPr>
          <w:i/>
          <w:spacing w:val="0"/>
        </w:rPr>
        <w:t xml:space="preserve">job duties” or “modified </w:t>
      </w:r>
      <w:r w:rsidR="005806A7" w:rsidRPr="009C2738">
        <w:rPr>
          <w:i/>
          <w:spacing w:val="0"/>
        </w:rPr>
        <w:t xml:space="preserve">plaintiff’s </w:t>
      </w:r>
      <w:r w:rsidR="004779B4" w:rsidRPr="009C2738">
        <w:rPr>
          <w:i/>
          <w:spacing w:val="0"/>
        </w:rPr>
        <w:t xml:space="preserve">work schedule” or “granted </w:t>
      </w:r>
      <w:r w:rsidR="005806A7" w:rsidRPr="009C2738">
        <w:rPr>
          <w:i/>
          <w:spacing w:val="0"/>
        </w:rPr>
        <w:t xml:space="preserve">plaintiff </w:t>
      </w:r>
      <w:r w:rsidR="004779B4" w:rsidRPr="009C2738">
        <w:rPr>
          <w:i/>
          <w:spacing w:val="0"/>
        </w:rPr>
        <w:t xml:space="preserve">a leave of absence” or “transferred </w:t>
      </w:r>
      <w:r w:rsidR="000A636B" w:rsidRPr="009C2738">
        <w:rPr>
          <w:i/>
          <w:spacing w:val="0"/>
        </w:rPr>
        <w:t>plaintiff</w:t>
      </w:r>
      <w:r w:rsidR="004779B4" w:rsidRPr="009C2738">
        <w:rPr>
          <w:i/>
          <w:spacing w:val="0"/>
        </w:rPr>
        <w:t xml:space="preserve"> to another open position for which </w:t>
      </w:r>
      <w:r w:rsidR="000A636B" w:rsidRPr="009C2738">
        <w:rPr>
          <w:i/>
          <w:spacing w:val="0"/>
        </w:rPr>
        <w:t xml:space="preserve">plaintiff </w:t>
      </w:r>
      <w:r w:rsidR="004779B4" w:rsidRPr="009C2738">
        <w:rPr>
          <w:i/>
          <w:spacing w:val="0"/>
        </w:rPr>
        <w:t>was qualified”</w:t>
      </w:r>
      <w:r w:rsidRPr="009C2738">
        <w:rPr>
          <w:i/>
          <w:spacing w:val="0"/>
        </w:rPr>
        <w:t>, etc.</w:t>
      </w:r>
      <w:r w:rsidR="00382ACE" w:rsidRPr="009C2738">
        <w:rPr>
          <w:i/>
          <w:iCs/>
          <w:spacing w:val="0"/>
        </w:rPr>
        <w:t>]</w:t>
      </w:r>
      <w:r w:rsidRPr="009C2738">
        <w:rPr>
          <w:spacing w:val="0"/>
        </w:rPr>
        <w:t xml:space="preserve">.  Defendant argues that </w:t>
      </w:r>
      <w:r w:rsidR="00382ACE" w:rsidRPr="009C2738">
        <w:rPr>
          <w:i/>
          <w:iCs/>
          <w:spacing w:val="0"/>
        </w:rPr>
        <w:t>[</w:t>
      </w:r>
      <w:r w:rsidRPr="009C2738">
        <w:rPr>
          <w:i/>
          <w:spacing w:val="0"/>
        </w:rPr>
        <w:t>insert description of defendant’s position, such as “plaintiff did not have a disability” or “</w:t>
      </w:r>
      <w:r w:rsidR="005F0785" w:rsidRPr="009C2738">
        <w:rPr>
          <w:i/>
          <w:spacing w:val="0"/>
        </w:rPr>
        <w:t>no</w:t>
      </w:r>
      <w:r w:rsidR="003C3996" w:rsidRPr="009C2738">
        <w:rPr>
          <w:i/>
          <w:spacing w:val="0"/>
        </w:rPr>
        <w:t xml:space="preserve"> accommodation would have enabled </w:t>
      </w:r>
      <w:r w:rsidR="005F0785" w:rsidRPr="009C2738">
        <w:rPr>
          <w:i/>
          <w:spacing w:val="0"/>
        </w:rPr>
        <w:t>plaintiff</w:t>
      </w:r>
      <w:r w:rsidR="003C3996" w:rsidRPr="009C2738">
        <w:rPr>
          <w:i/>
          <w:spacing w:val="0"/>
        </w:rPr>
        <w:t xml:space="preserve"> to perform the essential functions of </w:t>
      </w:r>
      <w:r w:rsidR="005806A7" w:rsidRPr="009C2738">
        <w:rPr>
          <w:i/>
          <w:spacing w:val="0"/>
        </w:rPr>
        <w:t xml:space="preserve">plaintiff’s </w:t>
      </w:r>
      <w:r w:rsidR="003C3996" w:rsidRPr="009C2738">
        <w:rPr>
          <w:i/>
          <w:spacing w:val="0"/>
        </w:rPr>
        <w:t xml:space="preserve">job” or </w:t>
      </w:r>
      <w:r w:rsidR="004779B4" w:rsidRPr="009C2738">
        <w:rPr>
          <w:i/>
          <w:spacing w:val="0"/>
        </w:rPr>
        <w:t xml:space="preserve">“it was not aware that plaintiff needed an accommodation” or “the accommodation plaintiff sought was not reasonable” or </w:t>
      </w:r>
      <w:r w:rsidRPr="009C2738">
        <w:rPr>
          <w:i/>
          <w:spacing w:val="0"/>
        </w:rPr>
        <w:t>“the accommodation it provided to plaintiff was adequate”</w:t>
      </w:r>
      <w:r w:rsidR="003C3996" w:rsidRPr="009C2738">
        <w:rPr>
          <w:i/>
          <w:spacing w:val="0"/>
        </w:rPr>
        <w:t>, etc.</w:t>
      </w:r>
      <w:r w:rsidR="00382ACE" w:rsidRPr="009C2738">
        <w:rPr>
          <w:i/>
          <w:iCs/>
          <w:spacing w:val="0"/>
        </w:rPr>
        <w:t>]</w:t>
      </w:r>
      <w:r w:rsidR="003C3996" w:rsidRPr="009C2738">
        <w:rPr>
          <w:spacing w:val="0"/>
        </w:rPr>
        <w:t>.</w:t>
      </w:r>
    </w:p>
    <w:p w14:paraId="66A6ABFA" w14:textId="3DB341FC" w:rsidR="00092995" w:rsidRPr="009C2738" w:rsidRDefault="005F0785" w:rsidP="00887092">
      <w:pPr>
        <w:pStyle w:val="BodyTextIndent2"/>
        <w:widowControl/>
        <w:tabs>
          <w:tab w:val="clear" w:pos="-720"/>
          <w:tab w:val="clear" w:pos="0"/>
          <w:tab w:val="clear" w:pos="720"/>
        </w:tabs>
        <w:spacing w:line="480" w:lineRule="auto"/>
        <w:ind w:left="0" w:firstLine="0"/>
        <w:rPr>
          <w:spacing w:val="0"/>
        </w:rPr>
      </w:pPr>
      <w:r w:rsidRPr="009C2738">
        <w:rPr>
          <w:spacing w:val="0"/>
        </w:rPr>
        <w:tab/>
        <w:t xml:space="preserve">To win </w:t>
      </w:r>
      <w:r w:rsidR="005806A7" w:rsidRPr="009C2738">
        <w:rPr>
          <w:spacing w:val="0"/>
        </w:rPr>
        <w:t xml:space="preserve">plaintiff’s </w:t>
      </w:r>
      <w:r w:rsidRPr="009C2738">
        <w:rPr>
          <w:spacing w:val="0"/>
        </w:rPr>
        <w:t xml:space="preserve">case, plaintiff must </w:t>
      </w:r>
      <w:r w:rsidR="009944D4" w:rsidRPr="009C2738">
        <w:rPr>
          <w:spacing w:val="0"/>
        </w:rPr>
        <w:t xml:space="preserve">prove each of the following elements by a preponderance of the evidence.  First, </w:t>
      </w:r>
      <w:r w:rsidR="00890C79" w:rsidRPr="009C2738">
        <w:rPr>
          <w:spacing w:val="0"/>
        </w:rPr>
        <w:t xml:space="preserve">plaintiff must prove that </w:t>
      </w:r>
      <w:r w:rsidR="005806A7" w:rsidRPr="009C2738">
        <w:rPr>
          <w:spacing w:val="0"/>
        </w:rPr>
        <w:t>plaintiff</w:t>
      </w:r>
      <w:r w:rsidR="00890C79" w:rsidRPr="009C2738">
        <w:rPr>
          <w:spacing w:val="0"/>
        </w:rPr>
        <w:t xml:space="preserve"> had a </w:t>
      </w:r>
      <w:r w:rsidR="00890C79" w:rsidRPr="009C2738">
        <w:rPr>
          <w:spacing w:val="0"/>
        </w:rPr>
        <w:lastRenderedPageBreak/>
        <w:t xml:space="preserve">disability.  Second, plaintiff must prove that </w:t>
      </w:r>
      <w:r w:rsidR="005806A7" w:rsidRPr="009C2738">
        <w:rPr>
          <w:spacing w:val="0"/>
        </w:rPr>
        <w:t xml:space="preserve">plaintiff </w:t>
      </w:r>
      <w:r w:rsidR="00890C79" w:rsidRPr="009C2738">
        <w:rPr>
          <w:spacing w:val="0"/>
        </w:rPr>
        <w:t xml:space="preserve">was able to perform </w:t>
      </w:r>
      <w:proofErr w:type="gramStart"/>
      <w:r w:rsidR="00890C79" w:rsidRPr="009C2738">
        <w:rPr>
          <w:spacing w:val="0"/>
        </w:rPr>
        <w:t>all of</w:t>
      </w:r>
      <w:proofErr w:type="gramEnd"/>
      <w:r w:rsidR="00890C79" w:rsidRPr="009C2738">
        <w:rPr>
          <w:spacing w:val="0"/>
        </w:rPr>
        <w:t xml:space="preserve"> the essential functions of </w:t>
      </w:r>
      <w:r w:rsidR="005806A7" w:rsidRPr="009C2738">
        <w:rPr>
          <w:spacing w:val="0"/>
        </w:rPr>
        <w:t xml:space="preserve">the </w:t>
      </w:r>
      <w:r w:rsidR="00890C79" w:rsidRPr="009C2738">
        <w:rPr>
          <w:spacing w:val="0"/>
        </w:rPr>
        <w:t xml:space="preserve">job, either with or without a reasonable accommodation.  Third, plaintiff must prove that defendant was aware of </w:t>
      </w:r>
      <w:r w:rsidR="005806A7" w:rsidRPr="009C2738">
        <w:rPr>
          <w:spacing w:val="0"/>
        </w:rPr>
        <w:t xml:space="preserve">plaintiff’s </w:t>
      </w:r>
      <w:r w:rsidR="00890C79" w:rsidRPr="009C2738">
        <w:rPr>
          <w:spacing w:val="0"/>
        </w:rPr>
        <w:t xml:space="preserve">need for a reasonable accommodation.  Fourth, plaintiff must prove that there was an accommodation </w:t>
      </w:r>
      <w:r w:rsidR="00B04BED" w:rsidRPr="009C2738">
        <w:rPr>
          <w:spacing w:val="0"/>
        </w:rPr>
        <w:t xml:space="preserve">that would have allowed </w:t>
      </w:r>
      <w:r w:rsidR="005806A7" w:rsidRPr="009C2738">
        <w:rPr>
          <w:spacing w:val="0"/>
        </w:rPr>
        <w:t xml:space="preserve">plaintiff </w:t>
      </w:r>
      <w:r w:rsidR="00B04BED" w:rsidRPr="009C2738">
        <w:rPr>
          <w:spacing w:val="0"/>
        </w:rPr>
        <w:t xml:space="preserve">to perform the essential functions of </w:t>
      </w:r>
      <w:r w:rsidR="005806A7" w:rsidRPr="009C2738">
        <w:rPr>
          <w:spacing w:val="0"/>
        </w:rPr>
        <w:t xml:space="preserve">plaintiff’s </w:t>
      </w:r>
      <w:r w:rsidR="00B04BED" w:rsidRPr="009C2738">
        <w:rPr>
          <w:spacing w:val="0"/>
        </w:rPr>
        <w:t>job</w:t>
      </w:r>
      <w:r w:rsidR="00890C79" w:rsidRPr="009C2738">
        <w:rPr>
          <w:spacing w:val="0"/>
        </w:rPr>
        <w:t xml:space="preserve">.  Fifth, plaintiff must prove that defendant denied </w:t>
      </w:r>
      <w:r w:rsidR="000A636B" w:rsidRPr="009C2738">
        <w:rPr>
          <w:spacing w:val="0"/>
        </w:rPr>
        <w:t xml:space="preserve">plaintiff </w:t>
      </w:r>
      <w:r w:rsidR="00890C79" w:rsidRPr="009C2738">
        <w:rPr>
          <w:spacing w:val="0"/>
        </w:rPr>
        <w:t>accommodation.</w:t>
      </w:r>
      <w:r w:rsidR="00706132" w:rsidRPr="009C2738">
        <w:rPr>
          <w:spacing w:val="0"/>
        </w:rPr>
        <w:t xml:space="preserve">  A plaintiff does not have to prove an adverse employment action separate and apart from the failure to accommodate itself to prove a failure to accommodate claim.</w:t>
      </w:r>
      <w:r w:rsidR="00AB1F38" w:rsidRPr="009C2738">
        <w:rPr>
          <w:rStyle w:val="FootnoteReference"/>
          <w:spacing w:val="0"/>
        </w:rPr>
        <w:footnoteReference w:id="1"/>
      </w:r>
      <w:r w:rsidR="00706132" w:rsidRPr="009C2738">
        <w:rPr>
          <w:spacing w:val="0"/>
        </w:rPr>
        <w:t xml:space="preserve"> </w:t>
      </w:r>
    </w:p>
    <w:p w14:paraId="23207EA6" w14:textId="70AB44B6" w:rsidR="00B04BED" w:rsidRPr="009C2738" w:rsidRDefault="004779B4" w:rsidP="00887092">
      <w:pPr>
        <w:pStyle w:val="BodyTextIndent2"/>
        <w:widowControl/>
        <w:tabs>
          <w:tab w:val="clear" w:pos="-720"/>
          <w:tab w:val="clear" w:pos="0"/>
          <w:tab w:val="clear" w:pos="720"/>
        </w:tabs>
        <w:spacing w:line="480" w:lineRule="auto"/>
        <w:ind w:left="0" w:firstLine="0"/>
        <w:rPr>
          <w:spacing w:val="0"/>
        </w:rPr>
      </w:pPr>
      <w:r w:rsidRPr="009C2738">
        <w:rPr>
          <w:spacing w:val="0"/>
        </w:rPr>
        <w:tab/>
        <w:t xml:space="preserve">To prove </w:t>
      </w:r>
      <w:r w:rsidR="000F3DFD" w:rsidRPr="009C2738">
        <w:rPr>
          <w:spacing w:val="0"/>
        </w:rPr>
        <w:t xml:space="preserve">the first element of </w:t>
      </w:r>
      <w:r w:rsidR="005806A7" w:rsidRPr="009C2738">
        <w:rPr>
          <w:spacing w:val="0"/>
        </w:rPr>
        <w:t xml:space="preserve">plaintiff’s </w:t>
      </w:r>
      <w:r w:rsidR="000F3DFD" w:rsidRPr="009C2738">
        <w:rPr>
          <w:spacing w:val="0"/>
        </w:rPr>
        <w:t xml:space="preserve">claim, which is </w:t>
      </w:r>
      <w:r w:rsidRPr="009C2738">
        <w:rPr>
          <w:spacing w:val="0"/>
        </w:rPr>
        <w:t>that</w:t>
      </w:r>
      <w:r w:rsidR="00B04BED" w:rsidRPr="009C2738">
        <w:rPr>
          <w:spacing w:val="0"/>
        </w:rPr>
        <w:t xml:space="preserve"> </w:t>
      </w:r>
      <w:r w:rsidR="005806A7" w:rsidRPr="009C2738">
        <w:rPr>
          <w:spacing w:val="0"/>
        </w:rPr>
        <w:t xml:space="preserve">plaintiff </w:t>
      </w:r>
      <w:r w:rsidR="00B04BED" w:rsidRPr="009C2738">
        <w:rPr>
          <w:spacing w:val="0"/>
        </w:rPr>
        <w:t xml:space="preserve">had a disability, plaintiff must show that </w:t>
      </w:r>
      <w:r w:rsidR="005806A7" w:rsidRPr="009C2738">
        <w:rPr>
          <w:spacing w:val="0"/>
        </w:rPr>
        <w:t xml:space="preserve">plaintiff </w:t>
      </w:r>
      <w:r w:rsidR="00B04BED" w:rsidRPr="009C2738">
        <w:rPr>
          <w:spacing w:val="0"/>
        </w:rPr>
        <w:t xml:space="preserve">had either (a) a physical condition caused by injury, birth defect, or illness or (b) a mental, psychological, or developmental condition that either (i) prevents the normal exercise of any bodily or mental functions or (ii) can be demonstrated medically or </w:t>
      </w:r>
      <w:r w:rsidR="000A4EBF" w:rsidRPr="009C2738">
        <w:rPr>
          <w:spacing w:val="0"/>
        </w:rPr>
        <w:t>psychologically</w:t>
      </w:r>
      <w:r w:rsidR="00B04BED" w:rsidRPr="009C2738">
        <w:rPr>
          <w:spacing w:val="0"/>
        </w:rPr>
        <w:t xml:space="preserve"> by accepted clinical or l</w:t>
      </w:r>
      <w:r w:rsidR="000A4EBF" w:rsidRPr="009C2738">
        <w:rPr>
          <w:spacing w:val="0"/>
        </w:rPr>
        <w:t>aboratory diagnostic techniques</w:t>
      </w:r>
      <w:r w:rsidR="00B04BED" w:rsidRPr="009C2738">
        <w:rPr>
          <w:spacing w:val="0"/>
        </w:rPr>
        <w:t>.</w:t>
      </w:r>
      <w:r w:rsidR="000A4EBF" w:rsidRPr="009C2738">
        <w:rPr>
          <w:rStyle w:val="FootnoteReference"/>
          <w:spacing w:val="0"/>
        </w:rPr>
        <w:footnoteReference w:id="2"/>
      </w:r>
      <w:r w:rsidR="000A4EBF" w:rsidRPr="009C2738">
        <w:rPr>
          <w:spacing w:val="0"/>
        </w:rPr>
        <w:t xml:space="preserve">  Plaintiff’s disability need not be particularly serious or permanent to qualify under the law.</w:t>
      </w:r>
      <w:r w:rsidR="000A4EBF" w:rsidRPr="009C2738">
        <w:rPr>
          <w:rStyle w:val="FootnoteReference"/>
          <w:spacing w:val="0"/>
        </w:rPr>
        <w:footnoteReference w:id="3"/>
      </w:r>
    </w:p>
    <w:p w14:paraId="30A75E34" w14:textId="29EDA5A4" w:rsidR="00D2533A" w:rsidRPr="009C2738" w:rsidRDefault="000A4EBF" w:rsidP="00887092">
      <w:pPr>
        <w:pStyle w:val="BodyTextIndent2"/>
        <w:widowControl/>
        <w:tabs>
          <w:tab w:val="clear" w:pos="-720"/>
          <w:tab w:val="clear" w:pos="0"/>
          <w:tab w:val="clear" w:pos="720"/>
        </w:tabs>
        <w:spacing w:line="480" w:lineRule="auto"/>
        <w:ind w:left="0" w:firstLine="0"/>
        <w:rPr>
          <w:spacing w:val="0"/>
        </w:rPr>
      </w:pPr>
      <w:r w:rsidRPr="009C2738">
        <w:rPr>
          <w:spacing w:val="0"/>
        </w:rPr>
        <w:lastRenderedPageBreak/>
        <w:tab/>
      </w:r>
      <w:r w:rsidR="00212A45" w:rsidRPr="009C2738">
        <w:rPr>
          <w:spacing w:val="0"/>
        </w:rPr>
        <w:t xml:space="preserve">In determining whether plaintiff has proven the second element of </w:t>
      </w:r>
      <w:r w:rsidR="005806A7" w:rsidRPr="009C2738">
        <w:rPr>
          <w:spacing w:val="0"/>
        </w:rPr>
        <w:t xml:space="preserve">plaintiff’s </w:t>
      </w:r>
      <w:r w:rsidR="00212A45" w:rsidRPr="009C2738">
        <w:rPr>
          <w:spacing w:val="0"/>
        </w:rPr>
        <w:t xml:space="preserve">claim, which is that </w:t>
      </w:r>
      <w:r w:rsidR="000A636B" w:rsidRPr="009C2738">
        <w:rPr>
          <w:spacing w:val="0"/>
        </w:rPr>
        <w:t>plaintiff</w:t>
      </w:r>
      <w:r w:rsidR="00212A45" w:rsidRPr="009C2738">
        <w:rPr>
          <w:spacing w:val="0"/>
        </w:rPr>
        <w:t xml:space="preserve"> was able to perform </w:t>
      </w:r>
      <w:proofErr w:type="gramStart"/>
      <w:r w:rsidR="00212A45" w:rsidRPr="009C2738">
        <w:rPr>
          <w:spacing w:val="0"/>
        </w:rPr>
        <w:t>all of</w:t>
      </w:r>
      <w:proofErr w:type="gramEnd"/>
      <w:r w:rsidR="00212A45" w:rsidRPr="009C2738">
        <w:rPr>
          <w:spacing w:val="0"/>
        </w:rPr>
        <w:t xml:space="preserve"> the essential functions of </w:t>
      </w:r>
      <w:r w:rsidR="005806A7" w:rsidRPr="009C2738">
        <w:rPr>
          <w:spacing w:val="0"/>
        </w:rPr>
        <w:t xml:space="preserve">plaintiff’s </w:t>
      </w:r>
      <w:r w:rsidR="00212A45" w:rsidRPr="009C2738">
        <w:rPr>
          <w:spacing w:val="0"/>
        </w:rPr>
        <w:t>job, you must consider which job functions were truly essential.</w:t>
      </w:r>
      <w:r w:rsidR="00425D79" w:rsidRPr="009C2738">
        <w:rPr>
          <w:spacing w:val="0"/>
        </w:rPr>
        <w:t xml:space="preserve">  </w:t>
      </w:r>
      <w:r w:rsidR="000749D5" w:rsidRPr="009C2738">
        <w:rPr>
          <w:spacing w:val="0"/>
        </w:rPr>
        <w:t xml:space="preserve">Whereas plaintiff bears the burden of proving that </w:t>
      </w:r>
      <w:r w:rsidR="005806A7" w:rsidRPr="009C2738">
        <w:rPr>
          <w:spacing w:val="0"/>
        </w:rPr>
        <w:t xml:space="preserve">plaintiff </w:t>
      </w:r>
      <w:r w:rsidR="000749D5" w:rsidRPr="009C2738">
        <w:rPr>
          <w:spacing w:val="0"/>
        </w:rPr>
        <w:t xml:space="preserve">could perform the essential functions of </w:t>
      </w:r>
      <w:r w:rsidR="005806A7" w:rsidRPr="009C2738">
        <w:rPr>
          <w:spacing w:val="0"/>
        </w:rPr>
        <w:t xml:space="preserve">plaintiff’s </w:t>
      </w:r>
      <w:r w:rsidR="000749D5" w:rsidRPr="009C2738">
        <w:rPr>
          <w:spacing w:val="0"/>
        </w:rPr>
        <w:t>job with or without reasonable accommodation, if there is a dispute between the parties about whether a particular job function is essential, d</w:t>
      </w:r>
      <w:r w:rsidR="00425D79" w:rsidRPr="009C2738">
        <w:rPr>
          <w:spacing w:val="0"/>
        </w:rPr>
        <w:t xml:space="preserve">efendant bears the burden of proving that </w:t>
      </w:r>
      <w:r w:rsidR="000749D5" w:rsidRPr="009C2738">
        <w:rPr>
          <w:spacing w:val="0"/>
        </w:rPr>
        <w:t>the</w:t>
      </w:r>
      <w:r w:rsidR="00425D79" w:rsidRPr="009C2738">
        <w:rPr>
          <w:spacing w:val="0"/>
        </w:rPr>
        <w:t xml:space="preserve"> function is essential.</w:t>
      </w:r>
      <w:r w:rsidR="00A4161A" w:rsidRPr="009C2738">
        <w:rPr>
          <w:rStyle w:val="FootnoteReference"/>
          <w:spacing w:val="0"/>
        </w:rPr>
        <w:footnoteReference w:id="4"/>
      </w:r>
      <w:r w:rsidR="00A4161A" w:rsidRPr="009C2738">
        <w:rPr>
          <w:spacing w:val="0"/>
        </w:rPr>
        <w:t xml:space="preserve">  </w:t>
      </w:r>
    </w:p>
    <w:p w14:paraId="1FD5B7B3" w14:textId="77777777" w:rsidR="000A4EBF" w:rsidRPr="009C2738" w:rsidRDefault="00D2533A" w:rsidP="00887092">
      <w:pPr>
        <w:pStyle w:val="BodyTextIndent2"/>
        <w:widowControl/>
        <w:tabs>
          <w:tab w:val="clear" w:pos="-720"/>
          <w:tab w:val="clear" w:pos="0"/>
          <w:tab w:val="clear" w:pos="720"/>
        </w:tabs>
        <w:spacing w:line="480" w:lineRule="auto"/>
        <w:ind w:left="0" w:firstLine="0"/>
        <w:rPr>
          <w:spacing w:val="0"/>
        </w:rPr>
      </w:pPr>
      <w:r w:rsidRPr="009C2738">
        <w:rPr>
          <w:spacing w:val="0"/>
        </w:rPr>
        <w:tab/>
      </w:r>
      <w:r w:rsidR="00A4161A" w:rsidRPr="009C2738">
        <w:rPr>
          <w:spacing w:val="0"/>
        </w:rPr>
        <w:t>In determining whether a job function is essential, you should consider the following</w:t>
      </w:r>
      <w:r w:rsidR="00877486" w:rsidRPr="009C2738">
        <w:rPr>
          <w:spacing w:val="0"/>
        </w:rPr>
        <w:t xml:space="preserve"> principles</w:t>
      </w:r>
      <w:r w:rsidR="00A4161A" w:rsidRPr="009C2738">
        <w:rPr>
          <w:spacing w:val="0"/>
        </w:rPr>
        <w:t>:</w:t>
      </w:r>
    </w:p>
    <w:p w14:paraId="64F51A74" w14:textId="77777777" w:rsidR="00A4161A" w:rsidRPr="009C2738" w:rsidRDefault="00877486" w:rsidP="00887092">
      <w:pPr>
        <w:pStyle w:val="BodyTextIndent2"/>
        <w:widowControl/>
        <w:numPr>
          <w:ilvl w:val="0"/>
          <w:numId w:val="6"/>
        </w:numPr>
        <w:tabs>
          <w:tab w:val="left" w:pos="1440"/>
        </w:tabs>
        <w:spacing w:line="480" w:lineRule="auto"/>
        <w:ind w:left="1440" w:hanging="720"/>
        <w:rPr>
          <w:spacing w:val="0"/>
        </w:rPr>
      </w:pPr>
      <w:r w:rsidRPr="009C2738">
        <w:rPr>
          <w:spacing w:val="0"/>
        </w:rPr>
        <w:t xml:space="preserve">A function may be essential because the reason the position exists is to perform the </w:t>
      </w:r>
      <w:proofErr w:type="gramStart"/>
      <w:r w:rsidRPr="009C2738">
        <w:rPr>
          <w:spacing w:val="0"/>
        </w:rPr>
        <w:t>function;</w:t>
      </w:r>
      <w:proofErr w:type="gramEnd"/>
    </w:p>
    <w:p w14:paraId="2A04B879" w14:textId="77777777" w:rsidR="00877486" w:rsidRPr="009C2738" w:rsidRDefault="00877486" w:rsidP="00887092">
      <w:pPr>
        <w:pStyle w:val="BodyTextIndent2"/>
        <w:widowControl/>
        <w:numPr>
          <w:ilvl w:val="0"/>
          <w:numId w:val="6"/>
        </w:numPr>
        <w:tabs>
          <w:tab w:val="left" w:pos="1440"/>
        </w:tabs>
        <w:spacing w:line="480" w:lineRule="auto"/>
        <w:ind w:left="1440" w:hanging="720"/>
        <w:rPr>
          <w:spacing w:val="0"/>
        </w:rPr>
      </w:pPr>
      <w:r w:rsidRPr="009C2738">
        <w:rPr>
          <w:spacing w:val="0"/>
        </w:rPr>
        <w:t>A function may be essential because of the limited number of employees among whom that work can be distributed;</w:t>
      </w:r>
      <w:r w:rsidR="005441D0" w:rsidRPr="009C2738">
        <w:rPr>
          <w:spacing w:val="0"/>
        </w:rPr>
        <w:t xml:space="preserve"> and</w:t>
      </w:r>
    </w:p>
    <w:p w14:paraId="1225B5C1" w14:textId="7438A6C0" w:rsidR="00877486" w:rsidRPr="009C2738" w:rsidRDefault="00877486" w:rsidP="00887092">
      <w:pPr>
        <w:pStyle w:val="BodyTextIndent2"/>
        <w:widowControl/>
        <w:numPr>
          <w:ilvl w:val="0"/>
          <w:numId w:val="6"/>
        </w:numPr>
        <w:tabs>
          <w:tab w:val="left" w:pos="1440"/>
        </w:tabs>
        <w:spacing w:line="480" w:lineRule="auto"/>
        <w:ind w:left="1440" w:hanging="720"/>
        <w:rPr>
          <w:spacing w:val="0"/>
        </w:rPr>
      </w:pPr>
      <w:r w:rsidRPr="009C2738">
        <w:rPr>
          <w:spacing w:val="0"/>
        </w:rPr>
        <w:t xml:space="preserve">A function may be essential because it is highly specialized and the person doing the job is chosen because of </w:t>
      </w:r>
      <w:r w:rsidR="005806A7" w:rsidRPr="009C2738">
        <w:rPr>
          <w:spacing w:val="0"/>
        </w:rPr>
        <w:t xml:space="preserve">the person’s </w:t>
      </w:r>
      <w:r w:rsidRPr="009C2738">
        <w:rPr>
          <w:spacing w:val="0"/>
        </w:rPr>
        <w:t>expertise</w:t>
      </w:r>
      <w:r w:rsidR="00DC1FC2" w:rsidRPr="009C2738">
        <w:rPr>
          <w:spacing w:val="0"/>
        </w:rPr>
        <w:t>.</w:t>
      </w:r>
    </w:p>
    <w:p w14:paraId="4BBA5EA4" w14:textId="1ED9FBD8" w:rsidR="00877486" w:rsidRPr="009C2738" w:rsidRDefault="00D2533A" w:rsidP="00887092">
      <w:pPr>
        <w:pStyle w:val="BodyTextIndent2"/>
        <w:widowControl/>
        <w:tabs>
          <w:tab w:val="clear" w:pos="-720"/>
          <w:tab w:val="clear" w:pos="0"/>
          <w:tab w:val="clear" w:pos="720"/>
        </w:tabs>
        <w:spacing w:line="480" w:lineRule="auto"/>
        <w:ind w:left="0" w:firstLine="0"/>
        <w:rPr>
          <w:spacing w:val="0"/>
        </w:rPr>
      </w:pPr>
      <w:r w:rsidRPr="009C2738">
        <w:rPr>
          <w:spacing w:val="0"/>
        </w:rPr>
        <w:lastRenderedPageBreak/>
        <w:tab/>
      </w:r>
      <w:r w:rsidR="00877486" w:rsidRPr="009C2738">
        <w:rPr>
          <w:spacing w:val="0"/>
        </w:rPr>
        <w:t xml:space="preserve">In deciding whether a job function is essential, you should consider written job descriptions, the amount of time that the person doing the job spends performing that particular function, the consequences of not requiring the person doing the job to perform that </w:t>
      </w:r>
      <w:r w:rsidR="00DC1FC2" w:rsidRPr="009C2738">
        <w:rPr>
          <w:spacing w:val="0"/>
        </w:rPr>
        <w:t>particular</w:t>
      </w:r>
      <w:r w:rsidR="00877486" w:rsidRPr="009C2738">
        <w:rPr>
          <w:spacing w:val="0"/>
        </w:rPr>
        <w:t xml:space="preserve"> function, the terms of any union collective bargaining agreement that applies to the job, </w:t>
      </w:r>
      <w:r w:rsidR="00DC1FC2" w:rsidRPr="009C2738">
        <w:rPr>
          <w:spacing w:val="0"/>
        </w:rPr>
        <w:t>and whether other employees doing that job or similar jobs are required to perform that particular function.</w:t>
      </w:r>
      <w:r w:rsidR="0069525E" w:rsidRPr="009C2738">
        <w:rPr>
          <w:rStyle w:val="FootnoteReference"/>
          <w:spacing w:val="0"/>
        </w:rPr>
        <w:footnoteReference w:id="5"/>
      </w:r>
    </w:p>
    <w:p w14:paraId="46FBF147" w14:textId="1A9EC43C" w:rsidR="000749D5" w:rsidRPr="009C2738" w:rsidRDefault="000749D5" w:rsidP="00887092">
      <w:pPr>
        <w:pStyle w:val="BodyTextIndent2"/>
        <w:widowControl/>
        <w:tabs>
          <w:tab w:val="clear" w:pos="-720"/>
          <w:tab w:val="clear" w:pos="0"/>
          <w:tab w:val="clear" w:pos="720"/>
        </w:tabs>
        <w:spacing w:line="480" w:lineRule="auto"/>
        <w:ind w:left="0" w:firstLine="720"/>
        <w:rPr>
          <w:spacing w:val="0"/>
        </w:rPr>
      </w:pPr>
      <w:r w:rsidRPr="009C2738">
        <w:rPr>
          <w:spacing w:val="0"/>
        </w:rPr>
        <w:t xml:space="preserve">The third element that the plaintiff must prove is that defendant was aware of </w:t>
      </w:r>
      <w:r w:rsidR="005806A7" w:rsidRPr="009C2738">
        <w:rPr>
          <w:spacing w:val="0"/>
        </w:rPr>
        <w:t xml:space="preserve">plaintiff’s </w:t>
      </w:r>
      <w:r w:rsidRPr="009C2738">
        <w:rPr>
          <w:spacing w:val="0"/>
        </w:rPr>
        <w:t xml:space="preserve">need for an accommodation.  In many cases, plaintiff will do so by offering evidence that </w:t>
      </w:r>
      <w:r w:rsidR="005806A7" w:rsidRPr="009C2738">
        <w:rPr>
          <w:spacing w:val="0"/>
        </w:rPr>
        <w:t xml:space="preserve">plaintiff </w:t>
      </w:r>
      <w:r w:rsidRPr="009C2738">
        <w:rPr>
          <w:spacing w:val="0"/>
        </w:rPr>
        <w:t>requested an accommodation from defendant.</w:t>
      </w:r>
      <w:r w:rsidR="00042F9E" w:rsidRPr="009C2738">
        <w:rPr>
          <w:spacing w:val="0"/>
        </w:rPr>
        <w:t xml:space="preserve">  It is not necessary that requests for accommodation be in writing or even use the phrase “reasonable accommodation”.</w:t>
      </w:r>
      <w:r w:rsidR="00DF34DA" w:rsidRPr="009C2738">
        <w:rPr>
          <w:rStyle w:val="FootnoteReference"/>
          <w:spacing w:val="0"/>
        </w:rPr>
        <w:footnoteReference w:id="6"/>
      </w:r>
      <w:r w:rsidR="00DF34DA" w:rsidRPr="009C2738">
        <w:rPr>
          <w:spacing w:val="0"/>
        </w:rPr>
        <w:t xml:space="preserve">  An employee may use plain English and need not mention any law requiring accommodation.</w:t>
      </w:r>
      <w:r w:rsidR="00DF34DA" w:rsidRPr="009C2738">
        <w:rPr>
          <w:rStyle w:val="FootnoteReference"/>
          <w:spacing w:val="0"/>
        </w:rPr>
        <w:footnoteReference w:id="7"/>
      </w:r>
      <w:r w:rsidR="00DF34DA" w:rsidRPr="009C2738">
        <w:rPr>
          <w:spacing w:val="0"/>
        </w:rPr>
        <w:t xml:space="preserve">  Although there are no magic words that the employee must use, </w:t>
      </w:r>
      <w:r w:rsidR="005806A7" w:rsidRPr="009C2738">
        <w:rPr>
          <w:spacing w:val="0"/>
        </w:rPr>
        <w:t xml:space="preserve">the employee </w:t>
      </w:r>
      <w:r w:rsidR="00DF34DA" w:rsidRPr="009C2738">
        <w:rPr>
          <w:spacing w:val="0"/>
        </w:rPr>
        <w:t xml:space="preserve">must make clear to the employer that </w:t>
      </w:r>
      <w:r w:rsidR="005806A7" w:rsidRPr="009C2738">
        <w:rPr>
          <w:spacing w:val="0"/>
        </w:rPr>
        <w:t xml:space="preserve">the employee </w:t>
      </w:r>
      <w:r w:rsidR="00DF34DA" w:rsidRPr="009C2738">
        <w:rPr>
          <w:spacing w:val="0"/>
        </w:rPr>
        <w:t xml:space="preserve">needs some assistance in performing </w:t>
      </w:r>
      <w:r w:rsidR="00BF0C2E" w:rsidRPr="009C2738">
        <w:rPr>
          <w:spacing w:val="0"/>
        </w:rPr>
        <w:t xml:space="preserve">the </w:t>
      </w:r>
      <w:r w:rsidR="00DF34DA" w:rsidRPr="009C2738">
        <w:rPr>
          <w:spacing w:val="0"/>
        </w:rPr>
        <w:t xml:space="preserve">job because of </w:t>
      </w:r>
      <w:r w:rsidR="00BF0C2E" w:rsidRPr="009C2738">
        <w:rPr>
          <w:spacing w:val="0"/>
        </w:rPr>
        <w:t xml:space="preserve">the employee’s </w:t>
      </w:r>
      <w:r w:rsidR="00DF34DA" w:rsidRPr="009C2738">
        <w:rPr>
          <w:spacing w:val="0"/>
        </w:rPr>
        <w:t>disability.</w:t>
      </w:r>
      <w:r w:rsidR="00DF34DA" w:rsidRPr="009C2738">
        <w:rPr>
          <w:rStyle w:val="FootnoteReference"/>
          <w:spacing w:val="0"/>
        </w:rPr>
        <w:footnoteReference w:id="8"/>
      </w:r>
      <w:r w:rsidR="00DF34DA" w:rsidRPr="009C2738">
        <w:rPr>
          <w:spacing w:val="0"/>
        </w:rPr>
        <w:t xml:space="preserve">  However, plaintiff need not prove that </w:t>
      </w:r>
      <w:r w:rsidR="00BF0C2E" w:rsidRPr="009C2738">
        <w:rPr>
          <w:spacing w:val="0"/>
        </w:rPr>
        <w:t>plaintiff</w:t>
      </w:r>
      <w:r w:rsidR="00DF34DA" w:rsidRPr="009C2738">
        <w:rPr>
          <w:spacing w:val="0"/>
        </w:rPr>
        <w:t xml:space="preserve"> requested an </w:t>
      </w:r>
      <w:r w:rsidR="00DF34DA" w:rsidRPr="009C2738">
        <w:rPr>
          <w:spacing w:val="0"/>
        </w:rPr>
        <w:lastRenderedPageBreak/>
        <w:t xml:space="preserve">accommodation if </w:t>
      </w:r>
      <w:r w:rsidR="00BF0C2E" w:rsidRPr="009C2738">
        <w:rPr>
          <w:spacing w:val="0"/>
        </w:rPr>
        <w:t>plaintiff</w:t>
      </w:r>
      <w:r w:rsidR="00DF34DA" w:rsidRPr="009C2738">
        <w:rPr>
          <w:spacing w:val="0"/>
        </w:rPr>
        <w:t xml:space="preserve"> can prove that defendant knew about </w:t>
      </w:r>
      <w:r w:rsidR="00BF0C2E" w:rsidRPr="009C2738">
        <w:rPr>
          <w:spacing w:val="0"/>
        </w:rPr>
        <w:t xml:space="preserve">plaintiff’s </w:t>
      </w:r>
      <w:r w:rsidR="00DF34DA" w:rsidRPr="009C2738">
        <w:rPr>
          <w:spacing w:val="0"/>
        </w:rPr>
        <w:t>need for accommodation in some other way.</w:t>
      </w:r>
      <w:r w:rsidR="00724274" w:rsidRPr="009C2738">
        <w:rPr>
          <w:rStyle w:val="FootnoteReference"/>
          <w:spacing w:val="0"/>
        </w:rPr>
        <w:footnoteReference w:id="9"/>
      </w:r>
    </w:p>
    <w:p w14:paraId="4A640B62" w14:textId="063D22AD" w:rsidR="00F336E8" w:rsidRPr="009C2738" w:rsidRDefault="00F336E8" w:rsidP="00887092">
      <w:pPr>
        <w:pStyle w:val="BodyTextIndent2"/>
        <w:widowControl/>
        <w:tabs>
          <w:tab w:val="clear" w:pos="-720"/>
          <w:tab w:val="clear" w:pos="0"/>
          <w:tab w:val="clear" w:pos="720"/>
        </w:tabs>
        <w:spacing w:line="480" w:lineRule="auto"/>
        <w:ind w:left="0" w:firstLine="0"/>
        <w:rPr>
          <w:spacing w:val="0"/>
        </w:rPr>
      </w:pPr>
      <w:r w:rsidRPr="009C2738">
        <w:rPr>
          <w:spacing w:val="0"/>
        </w:rPr>
        <w:tab/>
        <w:t xml:space="preserve">The fourth element that plaintiff must prove is that there was an accommodation that would have allowed </w:t>
      </w:r>
      <w:r w:rsidR="00BF0C2E" w:rsidRPr="009C2738">
        <w:rPr>
          <w:spacing w:val="0"/>
        </w:rPr>
        <w:t xml:space="preserve">plaintiff </w:t>
      </w:r>
      <w:r w:rsidRPr="009C2738">
        <w:rPr>
          <w:spacing w:val="0"/>
        </w:rPr>
        <w:t xml:space="preserve">to perform the essential functions of </w:t>
      </w:r>
      <w:r w:rsidR="007D095D" w:rsidRPr="009C2738">
        <w:rPr>
          <w:spacing w:val="0"/>
        </w:rPr>
        <w:t>plaintiff’s</w:t>
      </w:r>
      <w:r w:rsidRPr="009C2738">
        <w:rPr>
          <w:spacing w:val="0"/>
        </w:rPr>
        <w:t xml:space="preserve"> job.  </w:t>
      </w:r>
      <w:r w:rsidR="00712C81" w:rsidRPr="009C2738">
        <w:rPr>
          <w:spacing w:val="0"/>
        </w:rPr>
        <w:t>Examples of reasonable accommodation include (a) making facilities used by employees accessible and usable by people with disabilities, (b) job restructuring, (c) part-time or other modified work schedules, (d) leaves of absence, (e) getting or modifying equipment or devices to allow employees with disabilities to do the job, and (f) transfer to another open position for which the employee with a disability is qualified.</w:t>
      </w:r>
      <w:r w:rsidR="00712C81" w:rsidRPr="009C2738">
        <w:rPr>
          <w:rStyle w:val="FootnoteReference"/>
          <w:spacing w:val="0"/>
        </w:rPr>
        <w:footnoteReference w:id="10"/>
      </w:r>
    </w:p>
    <w:p w14:paraId="7B15793A" w14:textId="1F87BC6F" w:rsidR="00EB40C7" w:rsidRPr="009C2738" w:rsidRDefault="00EB40C7" w:rsidP="00887092">
      <w:pPr>
        <w:pStyle w:val="BodyTextIndent2"/>
        <w:widowControl/>
        <w:tabs>
          <w:tab w:val="clear" w:pos="-720"/>
          <w:tab w:val="clear" w:pos="0"/>
          <w:tab w:val="clear" w:pos="720"/>
        </w:tabs>
        <w:spacing w:line="480" w:lineRule="auto"/>
        <w:ind w:left="0" w:firstLine="0"/>
        <w:rPr>
          <w:spacing w:val="0"/>
        </w:rPr>
      </w:pPr>
      <w:r w:rsidRPr="009C2738">
        <w:rPr>
          <w:spacing w:val="0"/>
        </w:rPr>
        <w:tab/>
        <w:t xml:space="preserve">The last element that plaintiff must prove is that defendant denied </w:t>
      </w:r>
      <w:r w:rsidR="00BF0C2E" w:rsidRPr="009C2738">
        <w:rPr>
          <w:spacing w:val="0"/>
        </w:rPr>
        <w:t xml:space="preserve">plaintiff </w:t>
      </w:r>
      <w:r w:rsidRPr="009C2738">
        <w:rPr>
          <w:spacing w:val="0"/>
        </w:rPr>
        <w:t xml:space="preserve">accommodation.  It is important to note that if more than one accommodation would allow the employee to perform the essential functions of the job, the employer has the final say to choose between those effective accommodations, and may choose </w:t>
      </w:r>
      <w:r w:rsidRPr="009C2738">
        <w:rPr>
          <w:spacing w:val="0"/>
        </w:rPr>
        <w:lastRenderedPageBreak/>
        <w:t>the less expensive or less difficult accommodation.</w:t>
      </w:r>
      <w:r w:rsidRPr="009C2738">
        <w:rPr>
          <w:rStyle w:val="FootnoteReference"/>
          <w:spacing w:val="0"/>
        </w:rPr>
        <w:footnoteReference w:id="11"/>
      </w:r>
      <w:r w:rsidRPr="009C2738">
        <w:rPr>
          <w:spacing w:val="0"/>
        </w:rPr>
        <w:t xml:space="preserve"> </w:t>
      </w:r>
      <w:r w:rsidR="0092000D" w:rsidRPr="009C2738">
        <w:rPr>
          <w:spacing w:val="0"/>
        </w:rPr>
        <w:t xml:space="preserve"> </w:t>
      </w:r>
      <w:r w:rsidRPr="009C2738">
        <w:rPr>
          <w:spacing w:val="0"/>
        </w:rPr>
        <w:t xml:space="preserve">If defendant argues that the accommodation sought by plaintiff would have </w:t>
      </w:r>
      <w:r w:rsidR="005441D0" w:rsidRPr="009C2738">
        <w:rPr>
          <w:spacing w:val="0"/>
        </w:rPr>
        <w:t>placed</w:t>
      </w:r>
      <w:r w:rsidRPr="009C2738">
        <w:rPr>
          <w:spacing w:val="0"/>
        </w:rPr>
        <w:t xml:space="preserve"> an undue </w:t>
      </w:r>
      <w:r w:rsidR="00AD22CC" w:rsidRPr="009C2738">
        <w:rPr>
          <w:spacing w:val="0"/>
        </w:rPr>
        <w:t>hardship</w:t>
      </w:r>
      <w:r w:rsidRPr="009C2738">
        <w:rPr>
          <w:spacing w:val="0"/>
        </w:rPr>
        <w:t xml:space="preserve"> on it, then defendant has the burden of proving that undue </w:t>
      </w:r>
      <w:r w:rsidR="00AD22CC" w:rsidRPr="009C2738">
        <w:rPr>
          <w:spacing w:val="0"/>
        </w:rPr>
        <w:t>hardship</w:t>
      </w:r>
      <w:r w:rsidRPr="009C2738">
        <w:rPr>
          <w:spacing w:val="0"/>
        </w:rPr>
        <w:t>.</w:t>
      </w:r>
      <w:r w:rsidR="00AD22CC" w:rsidRPr="009C2738">
        <w:rPr>
          <w:rStyle w:val="FootnoteReference"/>
          <w:spacing w:val="0"/>
        </w:rPr>
        <w:footnoteReference w:id="12"/>
      </w:r>
      <w:r w:rsidR="00B01942" w:rsidRPr="009C2738">
        <w:rPr>
          <w:spacing w:val="0"/>
        </w:rPr>
        <w:t xml:space="preserve">  In determining whether an accommodation would impose undue hardship on the operation of an employer’s business, you should consider the following factors: (a) the overall size of the employer’s business with respect to the number of employees, number and type of facilities, and size of budget; (b) the type of the employer’s operations, including the </w:t>
      </w:r>
      <w:r w:rsidR="005441D0" w:rsidRPr="009C2738">
        <w:rPr>
          <w:spacing w:val="0"/>
        </w:rPr>
        <w:t>make-up</w:t>
      </w:r>
      <w:r w:rsidR="00B01942" w:rsidRPr="009C2738">
        <w:rPr>
          <w:spacing w:val="0"/>
        </w:rPr>
        <w:t xml:space="preserve"> and structure of the employer’s workforce; (c) the nature and cost of the accommodation needed, taking into consideration the availability of tax credits and deductions and/or outside funding; and (d) the extent to which accommodation would involve taking away an essential function of the job.</w:t>
      </w:r>
      <w:r w:rsidR="006D1234" w:rsidRPr="009C2738">
        <w:rPr>
          <w:rStyle w:val="FootnoteReference"/>
          <w:spacing w:val="0"/>
        </w:rPr>
        <w:footnoteReference w:id="13"/>
      </w:r>
    </w:p>
    <w:p w14:paraId="25A240B3" w14:textId="77777777" w:rsidR="009C2738" w:rsidRDefault="009C2738" w:rsidP="009C2738">
      <w:pPr>
        <w:pStyle w:val="BodyTextIndent2"/>
        <w:widowControl/>
        <w:tabs>
          <w:tab w:val="clear" w:pos="0"/>
          <w:tab w:val="clear" w:pos="720"/>
        </w:tabs>
        <w:ind w:left="720" w:right="720" w:firstLine="0"/>
        <w:jc w:val="center"/>
        <w:rPr>
          <w:b/>
          <w:i/>
          <w:spacing w:val="0"/>
        </w:rPr>
      </w:pPr>
    </w:p>
    <w:p w14:paraId="01D8A2FB" w14:textId="07C4D815" w:rsidR="00E66ADB" w:rsidRDefault="00E66ADB" w:rsidP="009C2738">
      <w:pPr>
        <w:pStyle w:val="BodyTextIndent2"/>
        <w:widowControl/>
        <w:tabs>
          <w:tab w:val="clear" w:pos="0"/>
          <w:tab w:val="clear" w:pos="720"/>
        </w:tabs>
        <w:ind w:left="720" w:right="720" w:firstLine="0"/>
        <w:jc w:val="center"/>
        <w:rPr>
          <w:b/>
          <w:i/>
          <w:spacing w:val="0"/>
        </w:rPr>
      </w:pPr>
      <w:r w:rsidRPr="009C2738">
        <w:rPr>
          <w:b/>
          <w:i/>
          <w:spacing w:val="0"/>
        </w:rPr>
        <w:t>NOTE TO JUDGE</w:t>
      </w:r>
    </w:p>
    <w:p w14:paraId="24252DDC" w14:textId="77777777" w:rsidR="009C2738" w:rsidRPr="009C2738" w:rsidRDefault="009C2738" w:rsidP="009C2738">
      <w:pPr>
        <w:pStyle w:val="BodyTextIndent2"/>
        <w:widowControl/>
        <w:tabs>
          <w:tab w:val="clear" w:pos="0"/>
          <w:tab w:val="clear" w:pos="720"/>
        </w:tabs>
        <w:ind w:left="720" w:right="720" w:firstLine="0"/>
        <w:jc w:val="center"/>
        <w:rPr>
          <w:b/>
          <w:spacing w:val="0"/>
        </w:rPr>
      </w:pPr>
    </w:p>
    <w:p w14:paraId="6EF122DD" w14:textId="6E394A55" w:rsidR="00E66ADB" w:rsidRPr="009C2738" w:rsidRDefault="00E66ADB" w:rsidP="009C2738">
      <w:pPr>
        <w:pStyle w:val="BodyTextIndent2"/>
        <w:widowControl/>
        <w:tabs>
          <w:tab w:val="clear" w:pos="-720"/>
          <w:tab w:val="clear" w:pos="0"/>
          <w:tab w:val="clear" w:pos="720"/>
        </w:tabs>
        <w:ind w:left="720" w:right="720" w:firstLine="0"/>
        <w:rPr>
          <w:bCs/>
          <w:spacing w:val="0"/>
        </w:rPr>
      </w:pPr>
      <w:r w:rsidRPr="009C2738">
        <w:rPr>
          <w:bCs/>
          <w:spacing w:val="0"/>
        </w:rPr>
        <w:t xml:space="preserve">The following charge </w:t>
      </w:r>
      <w:r w:rsidR="0040217D" w:rsidRPr="009C2738">
        <w:rPr>
          <w:bCs/>
          <w:spacing w:val="0"/>
        </w:rPr>
        <w:t xml:space="preserve">[in brackets] </w:t>
      </w:r>
      <w:r w:rsidRPr="009C2738">
        <w:rPr>
          <w:bCs/>
          <w:spacing w:val="0"/>
        </w:rPr>
        <w:t xml:space="preserve">should be given on the fifth element of the </w:t>
      </w:r>
      <w:r w:rsidRPr="009C2738">
        <w:rPr>
          <w:bCs/>
          <w:i/>
          <w:spacing w:val="0"/>
        </w:rPr>
        <w:t>prima facie</w:t>
      </w:r>
      <w:r w:rsidRPr="009C2738">
        <w:rPr>
          <w:bCs/>
          <w:spacing w:val="0"/>
        </w:rPr>
        <w:t xml:space="preserve"> case</w:t>
      </w:r>
      <w:r w:rsidR="00614BB0" w:rsidRPr="009C2738">
        <w:rPr>
          <w:bCs/>
          <w:spacing w:val="0"/>
        </w:rPr>
        <w:t xml:space="preserve"> </w:t>
      </w:r>
      <w:r w:rsidRPr="009C2738">
        <w:rPr>
          <w:bCs/>
          <w:spacing w:val="0"/>
        </w:rPr>
        <w:t xml:space="preserve">where the plaintiff alleges that the defendant has </w:t>
      </w:r>
      <w:r w:rsidR="00D94636" w:rsidRPr="009C2738">
        <w:rPr>
          <w:bCs/>
          <w:spacing w:val="0"/>
        </w:rPr>
        <w:t>failed</w:t>
      </w:r>
      <w:r w:rsidRPr="009C2738">
        <w:rPr>
          <w:bCs/>
          <w:spacing w:val="0"/>
        </w:rPr>
        <w:t xml:space="preserve"> to engage in the interactive process</w:t>
      </w:r>
      <w:r w:rsidR="003B102A" w:rsidRPr="009C2738">
        <w:rPr>
          <w:bCs/>
          <w:spacing w:val="0"/>
        </w:rPr>
        <w:t>. The charge should be given</w:t>
      </w:r>
      <w:r w:rsidRPr="009C2738">
        <w:rPr>
          <w:bCs/>
          <w:spacing w:val="0"/>
        </w:rPr>
        <w:t xml:space="preserve"> in lieu of the preceding paragraph</w:t>
      </w:r>
      <w:r w:rsidR="003B102A" w:rsidRPr="009C2738">
        <w:rPr>
          <w:bCs/>
          <w:spacing w:val="0"/>
        </w:rPr>
        <w:t xml:space="preserve"> in the standard charge</w:t>
      </w:r>
      <w:r w:rsidRPr="009C2738">
        <w:rPr>
          <w:bCs/>
          <w:spacing w:val="0"/>
        </w:rPr>
        <w:t>.</w:t>
      </w:r>
    </w:p>
    <w:p w14:paraId="33D37485" w14:textId="77777777" w:rsidR="00E66ADB" w:rsidRPr="009C2738" w:rsidRDefault="00E66ADB" w:rsidP="00887092">
      <w:pPr>
        <w:pStyle w:val="BodyTextIndent2"/>
        <w:widowControl/>
        <w:tabs>
          <w:tab w:val="clear" w:pos="-720"/>
          <w:tab w:val="clear" w:pos="0"/>
          <w:tab w:val="clear" w:pos="720"/>
        </w:tabs>
        <w:ind w:left="0" w:firstLine="0"/>
        <w:rPr>
          <w:spacing w:val="0"/>
        </w:rPr>
      </w:pPr>
    </w:p>
    <w:p w14:paraId="2BF6DBFB" w14:textId="6617F1DD" w:rsidR="00E66ADB" w:rsidRPr="009C2738" w:rsidRDefault="00E66ADB" w:rsidP="00887092">
      <w:pPr>
        <w:widowControl/>
        <w:spacing w:line="480" w:lineRule="auto"/>
        <w:ind w:firstLine="720"/>
        <w:jc w:val="both"/>
        <w:rPr>
          <w:color w:val="212121"/>
        </w:rPr>
      </w:pPr>
      <w:r w:rsidRPr="009C2738">
        <w:lastRenderedPageBreak/>
        <w:t xml:space="preserve"> </w:t>
      </w:r>
      <w:r w:rsidR="0040217D" w:rsidRPr="009C2738">
        <w:t>[</w:t>
      </w:r>
      <w:r w:rsidRPr="009C2738">
        <w:t xml:space="preserve">The last element that plaintiff must prove is that the defendant did not make a good faith effort to find a reasonable accommodation, which would have allowed the plaintiff to perform the essential functions of the job. </w:t>
      </w:r>
      <w:r w:rsidR="002C2902" w:rsidRPr="009C2738">
        <w:t xml:space="preserve">Once the </w:t>
      </w:r>
      <w:r w:rsidR="00622276" w:rsidRPr="009C2738">
        <w:t xml:space="preserve">employer has become aware of the </w:t>
      </w:r>
      <w:r w:rsidR="002C2902" w:rsidRPr="009C2738">
        <w:t>employee</w:t>
      </w:r>
      <w:r w:rsidR="00622276" w:rsidRPr="009C2738">
        <w:t>’s need for</w:t>
      </w:r>
      <w:r w:rsidR="002C2902" w:rsidRPr="009C2738">
        <w:t xml:space="preserve"> assistance, </w:t>
      </w:r>
      <w:r w:rsidR="002C2902" w:rsidRPr="009C2738">
        <w:rPr>
          <w:color w:val="212121"/>
        </w:rPr>
        <w:t xml:space="preserve">an employer must initiate an informal </w:t>
      </w:r>
      <w:r w:rsidR="002C2902" w:rsidRPr="009C2738">
        <w:rPr>
          <w:bCs/>
          <w:color w:val="252525"/>
        </w:rPr>
        <w:t>interactive</w:t>
      </w:r>
      <w:r w:rsidR="002C2902" w:rsidRPr="009C2738">
        <w:rPr>
          <w:color w:val="212121"/>
        </w:rPr>
        <w:t xml:space="preserve"> </w:t>
      </w:r>
      <w:r w:rsidR="002C2902" w:rsidRPr="009C2738">
        <w:rPr>
          <w:bCs/>
          <w:color w:val="252525"/>
        </w:rPr>
        <w:t>process</w:t>
      </w:r>
      <w:r w:rsidR="002C2902" w:rsidRPr="009C2738">
        <w:rPr>
          <w:color w:val="212121"/>
        </w:rPr>
        <w:t xml:space="preserve"> with the employee</w:t>
      </w:r>
      <w:r w:rsidR="002C2902" w:rsidRPr="009C2738">
        <w:t xml:space="preserve"> t</w:t>
      </w:r>
      <w:r w:rsidRPr="009C2738">
        <w:rPr>
          <w:color w:val="212121"/>
        </w:rPr>
        <w:t xml:space="preserve">o determine what appropriate accommodation is necessary to permit </w:t>
      </w:r>
      <w:r w:rsidR="00434F0A" w:rsidRPr="009C2738">
        <w:rPr>
          <w:color w:val="212121"/>
        </w:rPr>
        <w:t xml:space="preserve">the </w:t>
      </w:r>
      <w:r w:rsidRPr="009C2738">
        <w:rPr>
          <w:color w:val="212121"/>
        </w:rPr>
        <w:t>employee to perform the essential functions of the job.</w:t>
      </w:r>
      <w:r w:rsidRPr="009C2738">
        <w:rPr>
          <w:rStyle w:val="FootnoteReference"/>
          <w:color w:val="212121"/>
        </w:rPr>
        <w:footnoteReference w:id="14"/>
      </w:r>
      <w:r w:rsidRPr="009C2738">
        <w:rPr>
          <w:color w:val="212121"/>
        </w:rPr>
        <w:t xml:space="preserve"> This process must identify the potential reasonable accommodations that could be adopted to overcome the employee</w:t>
      </w:r>
      <w:r w:rsidR="00C96822" w:rsidRPr="009C2738">
        <w:rPr>
          <w:color w:val="212121"/>
        </w:rPr>
        <w:t>’</w:t>
      </w:r>
      <w:r w:rsidRPr="009C2738">
        <w:rPr>
          <w:color w:val="212121"/>
        </w:rPr>
        <w:t>s precise limitations resulting from the disability.</w:t>
      </w:r>
      <w:r w:rsidR="00434F0A" w:rsidRPr="009C2738">
        <w:rPr>
          <w:rStyle w:val="FootnoteReference"/>
          <w:color w:val="212121"/>
        </w:rPr>
        <w:footnoteReference w:id="15"/>
      </w:r>
      <w:r w:rsidRPr="009C2738">
        <w:rPr>
          <w:color w:val="212121"/>
        </w:rPr>
        <w:t xml:space="preserve"> Engaging in the interactive accommodation process does not dictate that any particular concession must be made by the employer</w:t>
      </w:r>
      <w:r w:rsidR="00157442">
        <w:rPr>
          <w:color w:val="212121"/>
        </w:rPr>
        <w:t>,</w:t>
      </w:r>
      <w:r w:rsidRPr="009C2738">
        <w:rPr>
          <w:color w:val="212121"/>
        </w:rPr>
        <w:t xml:space="preserve"> but instead what it requires is that the employer make a good-faith effort to seek accommodations.</w:t>
      </w:r>
      <w:r w:rsidRPr="009C2738">
        <w:rPr>
          <w:rStyle w:val="FootnoteReference"/>
          <w:color w:val="212121"/>
        </w:rPr>
        <w:footnoteReference w:id="16"/>
      </w:r>
      <w:r w:rsidRPr="009C2738">
        <w:rPr>
          <w:color w:val="212121"/>
        </w:rPr>
        <w:t xml:space="preserve"> “Good faith” means </w:t>
      </w:r>
      <w:r w:rsidR="002743DF" w:rsidRPr="009C2738">
        <w:rPr>
          <w:color w:val="212121"/>
        </w:rPr>
        <w:t xml:space="preserve">that the employer acted </w:t>
      </w:r>
      <w:r w:rsidRPr="009C2738">
        <w:rPr>
          <w:color w:val="212121"/>
        </w:rPr>
        <w:t>honest</w:t>
      </w:r>
      <w:r w:rsidR="002743DF" w:rsidRPr="009C2738">
        <w:rPr>
          <w:color w:val="212121"/>
        </w:rPr>
        <w:t xml:space="preserve">ly in its attempt to </w:t>
      </w:r>
      <w:r w:rsidRPr="009C2738">
        <w:rPr>
          <w:color w:val="212121"/>
        </w:rPr>
        <w:t xml:space="preserve">find </w:t>
      </w:r>
      <w:r w:rsidR="002743DF" w:rsidRPr="009C2738">
        <w:rPr>
          <w:color w:val="212121"/>
        </w:rPr>
        <w:t>a reasonable</w:t>
      </w:r>
      <w:r w:rsidRPr="009C2738">
        <w:rPr>
          <w:color w:val="212121"/>
        </w:rPr>
        <w:t xml:space="preserve"> accommodation.</w:t>
      </w:r>
    </w:p>
    <w:p w14:paraId="5D86F5EA" w14:textId="75A78A26" w:rsidR="002C2902" w:rsidRPr="009C2738" w:rsidRDefault="006D1234" w:rsidP="00887092">
      <w:pPr>
        <w:pStyle w:val="BodyTextIndent2"/>
        <w:widowControl/>
        <w:tabs>
          <w:tab w:val="clear" w:pos="-720"/>
          <w:tab w:val="clear" w:pos="0"/>
          <w:tab w:val="clear" w:pos="720"/>
        </w:tabs>
        <w:spacing w:line="480" w:lineRule="auto"/>
        <w:ind w:left="0" w:firstLine="0"/>
        <w:rPr>
          <w:spacing w:val="0"/>
        </w:rPr>
      </w:pPr>
      <w:r w:rsidRPr="009C2738">
        <w:rPr>
          <w:spacing w:val="0"/>
        </w:rPr>
        <w:tab/>
      </w:r>
      <w:r w:rsidR="002C2902" w:rsidRPr="009C2738">
        <w:rPr>
          <w:spacing w:val="0"/>
        </w:rPr>
        <w:t>If defendant argues that a particular accommodation would have placed an undue hardship on it, then defendant has the burden of proving that undue hardship.</w:t>
      </w:r>
      <w:r w:rsidR="002C2902" w:rsidRPr="009C2738">
        <w:rPr>
          <w:rStyle w:val="FootnoteReference"/>
          <w:spacing w:val="0"/>
        </w:rPr>
        <w:footnoteReference w:id="17"/>
      </w:r>
      <w:r w:rsidR="002C2902" w:rsidRPr="009C2738">
        <w:rPr>
          <w:spacing w:val="0"/>
        </w:rPr>
        <w:t xml:space="preserve">  </w:t>
      </w:r>
      <w:r w:rsidR="002C2902" w:rsidRPr="009C2738">
        <w:rPr>
          <w:spacing w:val="0"/>
        </w:rPr>
        <w:lastRenderedPageBreak/>
        <w:t>In determining whether an accommodation would impose undue hardship on the operation of an employer’s business, you should consider the following factors:  (a) the overall size of the employer’s business with respect to the number of employees, number and type of facilities, and size of budget; (b) the type of the employer’s operations, including the make-up and structure of the employer’s workforce; (c) the nature and cost of the accommodation needed, taking into consideration the availability of tax credits and deductions and/or outside funding; and (d) the extent to which accommodation would involve taking away an essential function of the job.</w:t>
      </w:r>
      <w:r w:rsidR="002C2902" w:rsidRPr="009C2738">
        <w:rPr>
          <w:rStyle w:val="FootnoteReference"/>
          <w:spacing w:val="0"/>
        </w:rPr>
        <w:footnoteReference w:id="18"/>
      </w:r>
      <w:r w:rsidR="0040217D" w:rsidRPr="009C2738">
        <w:rPr>
          <w:spacing w:val="0"/>
        </w:rPr>
        <w:t>]</w:t>
      </w:r>
    </w:p>
    <w:p w14:paraId="3862099F" w14:textId="3E6B2FA9" w:rsidR="004779B4" w:rsidRPr="009C2738" w:rsidRDefault="002C2902" w:rsidP="00887092">
      <w:pPr>
        <w:pStyle w:val="BodyTextIndent2"/>
        <w:widowControl/>
        <w:tabs>
          <w:tab w:val="clear" w:pos="-720"/>
          <w:tab w:val="clear" w:pos="0"/>
          <w:tab w:val="clear" w:pos="720"/>
        </w:tabs>
        <w:spacing w:line="480" w:lineRule="auto"/>
        <w:ind w:left="0" w:firstLine="0"/>
        <w:rPr>
          <w:spacing w:val="0"/>
        </w:rPr>
      </w:pPr>
      <w:r w:rsidRPr="009C2738">
        <w:rPr>
          <w:spacing w:val="0"/>
        </w:rPr>
        <w:tab/>
      </w:r>
      <w:r w:rsidR="005441D0" w:rsidRPr="009C2738">
        <w:rPr>
          <w:spacing w:val="0"/>
        </w:rPr>
        <w:t>In summary</w:t>
      </w:r>
      <w:r w:rsidR="006D1234" w:rsidRPr="009C2738">
        <w:rPr>
          <w:spacing w:val="0"/>
        </w:rPr>
        <w:t xml:space="preserve">, to win on </w:t>
      </w:r>
      <w:r w:rsidR="00BF0C2E" w:rsidRPr="009C2738">
        <w:rPr>
          <w:spacing w:val="0"/>
        </w:rPr>
        <w:t xml:space="preserve">plaintiff’s </w:t>
      </w:r>
      <w:r w:rsidR="006D1234" w:rsidRPr="009C2738">
        <w:rPr>
          <w:spacing w:val="0"/>
        </w:rPr>
        <w:t xml:space="preserve">claim, plaintiff must prove that it is more likely than not that (1) </w:t>
      </w:r>
      <w:r w:rsidR="00BF0C2E" w:rsidRPr="009C2738">
        <w:rPr>
          <w:spacing w:val="0"/>
        </w:rPr>
        <w:t xml:space="preserve">plaintiff </w:t>
      </w:r>
      <w:r w:rsidR="006D1234" w:rsidRPr="009C2738">
        <w:rPr>
          <w:spacing w:val="0"/>
        </w:rPr>
        <w:t xml:space="preserve">had a disability; (2) </w:t>
      </w:r>
      <w:r w:rsidR="00BF0C2E" w:rsidRPr="009C2738">
        <w:rPr>
          <w:spacing w:val="0"/>
        </w:rPr>
        <w:t xml:space="preserve">plaintiff </w:t>
      </w:r>
      <w:r w:rsidR="006D1234" w:rsidRPr="009C2738">
        <w:rPr>
          <w:spacing w:val="0"/>
        </w:rPr>
        <w:t xml:space="preserve">was able to perform all of the essential functions of </w:t>
      </w:r>
      <w:r w:rsidR="00BF0C2E" w:rsidRPr="009C2738">
        <w:rPr>
          <w:spacing w:val="0"/>
        </w:rPr>
        <w:t xml:space="preserve">plaintiff’s </w:t>
      </w:r>
      <w:r w:rsidR="006D1234" w:rsidRPr="009C2738">
        <w:rPr>
          <w:spacing w:val="0"/>
        </w:rPr>
        <w:t xml:space="preserve">job, either with or without a reasonable accommodation; (3) defendant was aware of </w:t>
      </w:r>
      <w:r w:rsidR="00BF0C2E" w:rsidRPr="009C2738">
        <w:rPr>
          <w:spacing w:val="0"/>
        </w:rPr>
        <w:t>plaintiff’s</w:t>
      </w:r>
      <w:r w:rsidR="006D1234" w:rsidRPr="009C2738">
        <w:rPr>
          <w:spacing w:val="0"/>
        </w:rPr>
        <w:t xml:space="preserve"> need for a reasonable accommodation; (4) there was an accommodation that would have allowed </w:t>
      </w:r>
      <w:r w:rsidR="00BF0C2E" w:rsidRPr="009C2738">
        <w:rPr>
          <w:spacing w:val="0"/>
        </w:rPr>
        <w:t>plaintiff</w:t>
      </w:r>
      <w:r w:rsidR="006D1234" w:rsidRPr="009C2738">
        <w:rPr>
          <w:spacing w:val="0"/>
        </w:rPr>
        <w:t xml:space="preserve"> to perform the essential functions of </w:t>
      </w:r>
      <w:r w:rsidR="00BF0C2E" w:rsidRPr="009C2738">
        <w:rPr>
          <w:spacing w:val="0"/>
        </w:rPr>
        <w:t>plaintiff’s</w:t>
      </w:r>
      <w:r w:rsidR="006D1234" w:rsidRPr="009C2738">
        <w:rPr>
          <w:spacing w:val="0"/>
        </w:rPr>
        <w:t xml:space="preserve"> job</w:t>
      </w:r>
      <w:r w:rsidR="005441D0" w:rsidRPr="009C2738">
        <w:rPr>
          <w:spacing w:val="0"/>
        </w:rPr>
        <w:t>; and (5) defendant</w:t>
      </w:r>
      <w:r w:rsidR="00A3056B" w:rsidRPr="009C2738">
        <w:rPr>
          <w:spacing w:val="0"/>
        </w:rPr>
        <w:t xml:space="preserve"> denied </w:t>
      </w:r>
      <w:r w:rsidR="00BF0C2E" w:rsidRPr="009C2738">
        <w:rPr>
          <w:spacing w:val="0"/>
        </w:rPr>
        <w:t>plaintiff</w:t>
      </w:r>
      <w:r w:rsidR="00A3056B" w:rsidRPr="009C2738">
        <w:rPr>
          <w:spacing w:val="0"/>
        </w:rPr>
        <w:t xml:space="preserve"> accommodation. </w:t>
      </w:r>
      <w:r w:rsidR="00434F0A" w:rsidRPr="009C2738">
        <w:rPr>
          <w:spacing w:val="0"/>
        </w:rPr>
        <w:t xml:space="preserve"> </w:t>
      </w:r>
      <w:r w:rsidR="005441D0" w:rsidRPr="009C2738">
        <w:rPr>
          <w:spacing w:val="0"/>
        </w:rPr>
        <w:t>If you find that plaintiff failed to prove any of these elements by a preponderance of the evidence, you must render a verdict in favor of defendant.</w:t>
      </w:r>
      <w:r w:rsidR="004779B4" w:rsidRPr="009C2738">
        <w:rPr>
          <w:spacing w:val="0"/>
        </w:rPr>
        <w:t xml:space="preserve"> </w:t>
      </w:r>
    </w:p>
    <w:p w14:paraId="7D684168" w14:textId="77777777" w:rsidR="00157442" w:rsidRDefault="00157442" w:rsidP="00157442">
      <w:pPr>
        <w:pStyle w:val="BodyTextIndent2"/>
        <w:widowControl/>
        <w:tabs>
          <w:tab w:val="clear" w:pos="-720"/>
          <w:tab w:val="clear" w:pos="0"/>
          <w:tab w:val="clear" w:pos="720"/>
        </w:tabs>
        <w:ind w:left="720" w:right="720" w:firstLine="0"/>
        <w:jc w:val="center"/>
        <w:rPr>
          <w:b/>
          <w:i/>
          <w:spacing w:val="0"/>
        </w:rPr>
      </w:pPr>
    </w:p>
    <w:p w14:paraId="2E844872" w14:textId="183326E8" w:rsidR="00A3056B" w:rsidRPr="009C2738" w:rsidRDefault="00A3056B" w:rsidP="00157442">
      <w:pPr>
        <w:pStyle w:val="BodyTextIndent2"/>
        <w:keepNext/>
        <w:keepLines/>
        <w:widowControl/>
        <w:tabs>
          <w:tab w:val="clear" w:pos="-720"/>
          <w:tab w:val="clear" w:pos="0"/>
          <w:tab w:val="clear" w:pos="720"/>
        </w:tabs>
        <w:ind w:left="720" w:right="720" w:firstLine="0"/>
        <w:jc w:val="center"/>
        <w:rPr>
          <w:b/>
          <w:i/>
          <w:spacing w:val="0"/>
        </w:rPr>
      </w:pPr>
      <w:r w:rsidRPr="009C2738">
        <w:rPr>
          <w:b/>
          <w:i/>
          <w:spacing w:val="0"/>
        </w:rPr>
        <w:lastRenderedPageBreak/>
        <w:t>NOTE TO JUDGE</w:t>
      </w:r>
    </w:p>
    <w:p w14:paraId="42998FEC" w14:textId="77777777" w:rsidR="00157442" w:rsidRDefault="00157442" w:rsidP="00157442">
      <w:pPr>
        <w:pStyle w:val="BodyTextIndent2"/>
        <w:keepNext/>
        <w:keepLines/>
        <w:widowControl/>
        <w:tabs>
          <w:tab w:val="clear" w:pos="-720"/>
          <w:tab w:val="clear" w:pos="0"/>
          <w:tab w:val="clear" w:pos="720"/>
        </w:tabs>
        <w:ind w:left="720" w:right="720" w:firstLine="0"/>
        <w:rPr>
          <w:bCs/>
          <w:spacing w:val="0"/>
        </w:rPr>
      </w:pPr>
    </w:p>
    <w:p w14:paraId="23DC00B4" w14:textId="6823DB1B" w:rsidR="00A3056B" w:rsidRPr="00157442" w:rsidRDefault="00A3056B" w:rsidP="00157442">
      <w:pPr>
        <w:pStyle w:val="BodyTextIndent2"/>
        <w:keepNext/>
        <w:keepLines/>
        <w:widowControl/>
        <w:tabs>
          <w:tab w:val="clear" w:pos="-720"/>
          <w:tab w:val="clear" w:pos="0"/>
          <w:tab w:val="clear" w:pos="720"/>
        </w:tabs>
        <w:ind w:left="720" w:right="720" w:firstLine="0"/>
        <w:rPr>
          <w:bCs/>
          <w:spacing w:val="0"/>
        </w:rPr>
      </w:pPr>
      <w:r w:rsidRPr="00157442">
        <w:rPr>
          <w:bCs/>
          <w:spacing w:val="0"/>
        </w:rPr>
        <w:t>In cases in which the plaintiff alleges a failure to engage in the interactive process, the fifth prong of the preceding paragraph should be modified as follows:</w:t>
      </w:r>
    </w:p>
    <w:p w14:paraId="4A13B136" w14:textId="77777777" w:rsidR="00A3056B" w:rsidRDefault="00A3056B" w:rsidP="00887092">
      <w:pPr>
        <w:pStyle w:val="BodyTextIndent2"/>
        <w:widowControl/>
        <w:tabs>
          <w:tab w:val="clear" w:pos="-720"/>
          <w:tab w:val="clear" w:pos="0"/>
          <w:tab w:val="clear" w:pos="720"/>
        </w:tabs>
        <w:ind w:left="720" w:firstLine="0"/>
        <w:rPr>
          <w:b/>
          <w:spacing w:val="0"/>
        </w:rPr>
      </w:pPr>
    </w:p>
    <w:p w14:paraId="0D9BC6F2" w14:textId="77777777" w:rsidR="004B1983" w:rsidRPr="009C2738" w:rsidRDefault="004B1983" w:rsidP="00887092">
      <w:pPr>
        <w:pStyle w:val="BodyTextIndent2"/>
        <w:widowControl/>
        <w:tabs>
          <w:tab w:val="clear" w:pos="-720"/>
          <w:tab w:val="clear" w:pos="0"/>
          <w:tab w:val="clear" w:pos="720"/>
        </w:tabs>
        <w:ind w:left="720" w:firstLine="0"/>
        <w:rPr>
          <w:b/>
          <w:spacing w:val="0"/>
        </w:rPr>
      </w:pPr>
    </w:p>
    <w:p w14:paraId="70824AD1" w14:textId="463D8E25" w:rsidR="00A3056B" w:rsidRPr="009C2738" w:rsidRDefault="00A3056B" w:rsidP="00887092">
      <w:pPr>
        <w:pStyle w:val="BodyTextIndent2"/>
        <w:widowControl/>
        <w:tabs>
          <w:tab w:val="clear" w:pos="-720"/>
          <w:tab w:val="clear" w:pos="0"/>
          <w:tab w:val="clear" w:pos="720"/>
        </w:tabs>
        <w:spacing w:line="480" w:lineRule="auto"/>
        <w:ind w:left="0" w:firstLine="0"/>
        <w:rPr>
          <w:spacing w:val="0"/>
        </w:rPr>
      </w:pPr>
      <w:r w:rsidRPr="009C2738">
        <w:rPr>
          <w:spacing w:val="0"/>
        </w:rPr>
        <w:t>(5)  defendant did not make a good-faith effort to find a reasonable accommodation.</w:t>
      </w:r>
    </w:p>
    <w:sectPr w:rsidR="00A3056B" w:rsidRPr="009C2738" w:rsidSect="0031187B">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025BE" w14:textId="77777777" w:rsidR="00EA5382" w:rsidRDefault="00EA5382">
      <w:pPr>
        <w:widowControl/>
        <w:spacing w:line="20" w:lineRule="exact"/>
        <w:rPr>
          <w:sz w:val="20"/>
          <w:szCs w:val="24"/>
        </w:rPr>
      </w:pPr>
    </w:p>
  </w:endnote>
  <w:endnote w:type="continuationSeparator" w:id="0">
    <w:p w14:paraId="1F70E820" w14:textId="77777777" w:rsidR="00EA5382" w:rsidRDefault="00EA5382">
      <w:r>
        <w:rPr>
          <w:sz w:val="20"/>
          <w:szCs w:val="24"/>
        </w:rPr>
        <w:t xml:space="preserve"> </w:t>
      </w:r>
    </w:p>
  </w:endnote>
  <w:endnote w:type="continuationNotice" w:id="1">
    <w:p w14:paraId="2BF1E518" w14:textId="77777777" w:rsidR="00EA5382" w:rsidRDefault="00EA5382">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3A72" w14:textId="38BEC93F" w:rsidR="00717B39" w:rsidRPr="00717B39" w:rsidRDefault="00717B39" w:rsidP="00717B39">
    <w:pPr>
      <w:pStyle w:val="Footer"/>
      <w:jc w:val="center"/>
      <w:rPr>
        <w:rFonts w:ascii="Times New Roman Bold" w:hAnsi="Times New Roman Bold"/>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C863F" w14:textId="77777777" w:rsidR="00EA5382" w:rsidRDefault="00EA5382">
      <w:r>
        <w:rPr>
          <w:sz w:val="20"/>
          <w:szCs w:val="24"/>
        </w:rPr>
        <w:separator/>
      </w:r>
    </w:p>
  </w:footnote>
  <w:footnote w:type="continuationSeparator" w:id="0">
    <w:p w14:paraId="7C46B47D" w14:textId="77777777" w:rsidR="00EA5382" w:rsidRDefault="00EA5382">
      <w:r>
        <w:continuationSeparator/>
      </w:r>
    </w:p>
  </w:footnote>
  <w:footnote w:id="1">
    <w:p w14:paraId="1393C020" w14:textId="0FE30402"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D2533A" w:rsidRPr="0031187B">
        <w:rPr>
          <w:sz w:val="24"/>
        </w:rPr>
        <w:t xml:space="preserve"> </w:t>
      </w:r>
      <w:r w:rsidR="009E4847">
        <w:rPr>
          <w:i/>
          <w:iCs/>
          <w:sz w:val="24"/>
        </w:rPr>
        <w:t>Richter v. Oakland Board of Education</w:t>
      </w:r>
      <w:r w:rsidR="009E4847">
        <w:rPr>
          <w:sz w:val="24"/>
        </w:rPr>
        <w:t xml:space="preserve">, 246 </w:t>
      </w:r>
      <w:r w:rsidR="009E4847">
        <w:rPr>
          <w:i/>
          <w:iCs/>
          <w:sz w:val="24"/>
        </w:rPr>
        <w:t>N.J.</w:t>
      </w:r>
      <w:r w:rsidR="009E4847">
        <w:rPr>
          <w:sz w:val="24"/>
        </w:rPr>
        <w:t xml:space="preserve"> 507, 529-32 (2021). </w:t>
      </w:r>
    </w:p>
    <w:p w14:paraId="42508992" w14:textId="77777777" w:rsidR="00361E35" w:rsidRPr="0031187B" w:rsidRDefault="00361E35" w:rsidP="009C2738">
      <w:pPr>
        <w:pStyle w:val="FootnoteText"/>
        <w:widowControl/>
        <w:jc w:val="both"/>
        <w:rPr>
          <w:sz w:val="24"/>
        </w:rPr>
      </w:pPr>
    </w:p>
  </w:footnote>
  <w:footnote w:id="2">
    <w:p w14:paraId="263E4F83" w14:textId="5472AC4C"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D2533A" w:rsidRPr="0031187B">
        <w:rPr>
          <w:sz w:val="24"/>
        </w:rPr>
        <w:t xml:space="preserve"> </w:t>
      </w:r>
      <w:r w:rsidRPr="0031187B">
        <w:rPr>
          <w:i/>
          <w:sz w:val="24"/>
        </w:rPr>
        <w:t>N.J.S.A</w:t>
      </w:r>
      <w:r w:rsidRPr="0031187B">
        <w:rPr>
          <w:sz w:val="24"/>
        </w:rPr>
        <w:t>. 10:5-5(q).</w:t>
      </w:r>
    </w:p>
    <w:p w14:paraId="4E48C703" w14:textId="77777777" w:rsidR="00361E35" w:rsidRPr="0031187B" w:rsidRDefault="00361E35" w:rsidP="009C2738">
      <w:pPr>
        <w:pStyle w:val="FootnoteText"/>
        <w:widowControl/>
        <w:jc w:val="both"/>
        <w:rPr>
          <w:sz w:val="24"/>
        </w:rPr>
      </w:pPr>
    </w:p>
  </w:footnote>
  <w:footnote w:id="3">
    <w:p w14:paraId="3F7D1DCC" w14:textId="77777777" w:rsidR="005441D0"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D2533A" w:rsidRPr="0031187B">
        <w:rPr>
          <w:sz w:val="24"/>
        </w:rPr>
        <w:t xml:space="preserve"> </w:t>
      </w:r>
      <w:r w:rsidRPr="0031187B">
        <w:rPr>
          <w:i/>
          <w:sz w:val="24"/>
        </w:rPr>
        <w:t>See,</w:t>
      </w:r>
      <w:r w:rsidR="00D2533A" w:rsidRPr="0031187B">
        <w:rPr>
          <w:i/>
          <w:sz w:val="24"/>
        </w:rPr>
        <w:t xml:space="preserve"> </w:t>
      </w:r>
      <w:r w:rsidRPr="0031187B">
        <w:rPr>
          <w:i/>
          <w:sz w:val="24"/>
        </w:rPr>
        <w:t xml:space="preserve">e.g., </w:t>
      </w:r>
      <w:proofErr w:type="spellStart"/>
      <w:r w:rsidRPr="0031187B">
        <w:rPr>
          <w:i/>
          <w:sz w:val="24"/>
        </w:rPr>
        <w:t>Viscik</w:t>
      </w:r>
      <w:proofErr w:type="spellEnd"/>
      <w:r w:rsidRPr="0031187B">
        <w:rPr>
          <w:i/>
          <w:sz w:val="24"/>
        </w:rPr>
        <w:t xml:space="preserve"> v. Fowler Equip. Co</w:t>
      </w:r>
      <w:r w:rsidRPr="0031187B">
        <w:rPr>
          <w:sz w:val="24"/>
        </w:rPr>
        <w:t xml:space="preserve">., 173 </w:t>
      </w:r>
      <w:r w:rsidRPr="0031187B">
        <w:rPr>
          <w:i/>
          <w:sz w:val="24"/>
        </w:rPr>
        <w:t>N.J</w:t>
      </w:r>
      <w:r w:rsidRPr="0031187B">
        <w:rPr>
          <w:sz w:val="24"/>
        </w:rPr>
        <w:t xml:space="preserve">. 1, 16 (2002) (noting that “the term ‘handicapped’ in LAD is not restricted to ‘severe’ or ‘immutable’ disabilities”); </w:t>
      </w:r>
      <w:r w:rsidRPr="0031187B">
        <w:rPr>
          <w:i/>
          <w:sz w:val="24"/>
        </w:rPr>
        <w:t>Enriquez v. West Jersey Health Systems</w:t>
      </w:r>
      <w:r w:rsidRPr="0031187B">
        <w:rPr>
          <w:sz w:val="24"/>
        </w:rPr>
        <w:t xml:space="preserve">, 342 </w:t>
      </w:r>
      <w:r w:rsidRPr="0031187B">
        <w:rPr>
          <w:i/>
          <w:sz w:val="24"/>
        </w:rPr>
        <w:t>N.J. Super.</w:t>
      </w:r>
      <w:r w:rsidRPr="0031187B">
        <w:rPr>
          <w:sz w:val="24"/>
        </w:rPr>
        <w:t xml:space="preserve"> 501, 519 (App. Div. 2001) (observing that LAD “is very broad and does not require that a disability restrict any major life activities to any degree”); </w:t>
      </w:r>
      <w:r w:rsidRPr="0031187B">
        <w:rPr>
          <w:i/>
          <w:sz w:val="24"/>
        </w:rPr>
        <w:t>Soules v. Mount Holiness Memorial Park</w:t>
      </w:r>
      <w:r w:rsidRPr="0031187B">
        <w:rPr>
          <w:sz w:val="24"/>
        </w:rPr>
        <w:t xml:space="preserve">, 354 </w:t>
      </w:r>
      <w:r w:rsidRPr="0031187B">
        <w:rPr>
          <w:i/>
          <w:sz w:val="24"/>
        </w:rPr>
        <w:t>N.J. Super.</w:t>
      </w:r>
      <w:r w:rsidRPr="0031187B">
        <w:rPr>
          <w:sz w:val="24"/>
        </w:rPr>
        <w:t xml:space="preserve"> 569 (App. Div. 2002) (holding that plaintiff employee with cancer who needed eight months off from work to recuperate from surgical removal of kidney was “handicapped” for purposes of LAD despite fact that disability was temporary).</w:t>
      </w:r>
    </w:p>
    <w:p w14:paraId="107E6995" w14:textId="77777777" w:rsidR="009C2738" w:rsidRPr="0031187B" w:rsidRDefault="009C2738" w:rsidP="009C2738">
      <w:pPr>
        <w:pStyle w:val="FootnoteText"/>
        <w:widowControl/>
        <w:jc w:val="both"/>
        <w:rPr>
          <w:sz w:val="24"/>
        </w:rPr>
      </w:pPr>
    </w:p>
  </w:footnote>
  <w:footnote w:id="4">
    <w:p w14:paraId="3DECE058" w14:textId="273E2F98"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92000D" w:rsidRPr="0031187B">
        <w:rPr>
          <w:sz w:val="24"/>
        </w:rPr>
        <w:t xml:space="preserve"> </w:t>
      </w:r>
      <w:r w:rsidRPr="0031187B">
        <w:rPr>
          <w:i/>
          <w:sz w:val="24"/>
        </w:rPr>
        <w:t>Sturm v. UAL Corp.</w:t>
      </w:r>
      <w:r w:rsidRPr="0031187B">
        <w:rPr>
          <w:sz w:val="24"/>
        </w:rPr>
        <w:t xml:space="preserve">, </w:t>
      </w:r>
      <w:r w:rsidR="004C1AF1" w:rsidRPr="0031187B">
        <w:rPr>
          <w:sz w:val="24"/>
          <w:shd w:val="clear" w:color="auto" w:fill="FFFFFF"/>
        </w:rPr>
        <w:t>Civil Action No. 98-264, 2000 U.S. Dist. LEXIS 13331</w:t>
      </w:r>
      <w:r w:rsidR="004C1AF1" w:rsidRPr="0031187B">
        <w:rPr>
          <w:sz w:val="24"/>
        </w:rPr>
        <w:t xml:space="preserve"> </w:t>
      </w:r>
      <w:r w:rsidRPr="0031187B">
        <w:rPr>
          <w:sz w:val="24"/>
        </w:rPr>
        <w:t>(D.N.J. Sept. 5, 2000) (holding under LAD that “employer bears the burden of establishing the necessity of certain functions to the job in question”).</w:t>
      </w:r>
    </w:p>
    <w:p w14:paraId="3615140D" w14:textId="77777777" w:rsidR="00361E35" w:rsidRPr="0031187B" w:rsidRDefault="00361E35" w:rsidP="009C2738">
      <w:pPr>
        <w:pStyle w:val="FootnoteText"/>
        <w:widowControl/>
        <w:jc w:val="both"/>
        <w:rPr>
          <w:sz w:val="24"/>
        </w:rPr>
      </w:pPr>
    </w:p>
  </w:footnote>
  <w:footnote w:id="5">
    <w:p w14:paraId="43676384" w14:textId="3B83B27A" w:rsidR="005441D0"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92000D" w:rsidRPr="0031187B">
        <w:rPr>
          <w:sz w:val="24"/>
        </w:rPr>
        <w:t xml:space="preserve"> </w:t>
      </w:r>
      <w:r w:rsidRPr="0031187B">
        <w:rPr>
          <w:sz w:val="24"/>
        </w:rPr>
        <w:t xml:space="preserve">These principles are drawn directly from 29 </w:t>
      </w:r>
      <w:r w:rsidRPr="0031187B">
        <w:rPr>
          <w:i/>
          <w:sz w:val="24"/>
        </w:rPr>
        <w:t>C.F.R.</w:t>
      </w:r>
      <w:r w:rsidRPr="0031187B">
        <w:rPr>
          <w:sz w:val="24"/>
        </w:rPr>
        <w:t xml:space="preserve"> §1630.2(n), which is the federal regulation defining “essential functions” under the federal Americans with Disabilities Act.  There is no definition of “essential functions” in the </w:t>
      </w:r>
      <w:r w:rsidR="009C2738">
        <w:rPr>
          <w:sz w:val="24"/>
        </w:rPr>
        <w:t>LAD</w:t>
      </w:r>
      <w:r w:rsidRPr="0031187B">
        <w:rPr>
          <w:sz w:val="24"/>
        </w:rPr>
        <w:t>, the New Jersey regulations promulgated under the statute, or New Jersey state court case law interpreting the statute.</w:t>
      </w:r>
    </w:p>
    <w:p w14:paraId="2C128D3F" w14:textId="77777777" w:rsidR="009C2738" w:rsidRPr="0031187B" w:rsidRDefault="009C2738" w:rsidP="009C2738">
      <w:pPr>
        <w:pStyle w:val="FootnoteText"/>
        <w:widowControl/>
        <w:jc w:val="both"/>
        <w:rPr>
          <w:sz w:val="24"/>
        </w:rPr>
      </w:pPr>
    </w:p>
  </w:footnote>
  <w:footnote w:id="6">
    <w:p w14:paraId="706186BB" w14:textId="009AAC62"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056B6A" w:rsidRPr="0031187B">
        <w:rPr>
          <w:sz w:val="24"/>
        </w:rPr>
        <w:t xml:space="preserve"> </w:t>
      </w:r>
      <w:r w:rsidRPr="0031187B">
        <w:rPr>
          <w:i/>
          <w:sz w:val="24"/>
        </w:rPr>
        <w:t>Tynan v. Vicinage 13 of Superior Court of New Jersey</w:t>
      </w:r>
      <w:r w:rsidRPr="0031187B">
        <w:rPr>
          <w:sz w:val="24"/>
        </w:rPr>
        <w:t xml:space="preserve">, 351 </w:t>
      </w:r>
      <w:r w:rsidRPr="0031187B">
        <w:rPr>
          <w:i/>
          <w:sz w:val="24"/>
        </w:rPr>
        <w:t>N.J. Super</w:t>
      </w:r>
      <w:r w:rsidRPr="0031187B">
        <w:rPr>
          <w:sz w:val="24"/>
        </w:rPr>
        <w:t>. 385, 400 (App. Div. 2002)</w:t>
      </w:r>
      <w:r w:rsidR="009A40C4" w:rsidRPr="0031187B">
        <w:rPr>
          <w:sz w:val="24"/>
        </w:rPr>
        <w:t xml:space="preserve">, </w:t>
      </w:r>
      <w:r w:rsidR="009A40C4" w:rsidRPr="0031187B">
        <w:rPr>
          <w:i/>
          <w:sz w:val="24"/>
        </w:rPr>
        <w:t>certif. denied</w:t>
      </w:r>
      <w:r w:rsidR="009A40C4" w:rsidRPr="0031187B">
        <w:rPr>
          <w:sz w:val="24"/>
        </w:rPr>
        <w:t xml:space="preserve">, 183 </w:t>
      </w:r>
      <w:r w:rsidR="009A40C4" w:rsidRPr="0031187B">
        <w:rPr>
          <w:i/>
          <w:sz w:val="24"/>
        </w:rPr>
        <w:t>N.J</w:t>
      </w:r>
      <w:r w:rsidR="009A40C4" w:rsidRPr="0031187B">
        <w:rPr>
          <w:sz w:val="24"/>
        </w:rPr>
        <w:t>. 215 (2005)</w:t>
      </w:r>
      <w:r w:rsidRPr="0031187B">
        <w:rPr>
          <w:sz w:val="24"/>
        </w:rPr>
        <w:t>.</w:t>
      </w:r>
    </w:p>
    <w:p w14:paraId="47132F64" w14:textId="77777777" w:rsidR="00811451" w:rsidRPr="0031187B" w:rsidRDefault="00811451" w:rsidP="009C2738">
      <w:pPr>
        <w:pStyle w:val="FootnoteText"/>
        <w:widowControl/>
        <w:jc w:val="both"/>
        <w:rPr>
          <w:sz w:val="24"/>
        </w:rPr>
      </w:pPr>
    </w:p>
  </w:footnote>
  <w:footnote w:id="7">
    <w:p w14:paraId="687AB495" w14:textId="19027B06"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811451" w:rsidRPr="0031187B">
        <w:rPr>
          <w:sz w:val="24"/>
        </w:rPr>
        <w:t xml:space="preserve"> </w:t>
      </w:r>
      <w:r w:rsidRPr="0031187B">
        <w:rPr>
          <w:i/>
          <w:sz w:val="24"/>
        </w:rPr>
        <w:t>Ibid</w:t>
      </w:r>
      <w:r w:rsidRPr="0031187B">
        <w:rPr>
          <w:sz w:val="24"/>
        </w:rPr>
        <w:t>.</w:t>
      </w:r>
    </w:p>
  </w:footnote>
  <w:footnote w:id="8">
    <w:p w14:paraId="2EB2DD21" w14:textId="77777777" w:rsidR="00811451" w:rsidRPr="0031187B" w:rsidRDefault="00811451" w:rsidP="009C2738">
      <w:pPr>
        <w:pStyle w:val="FootnoteText"/>
        <w:widowControl/>
        <w:jc w:val="both"/>
        <w:rPr>
          <w:sz w:val="24"/>
        </w:rPr>
      </w:pPr>
    </w:p>
    <w:p w14:paraId="466EB3B0" w14:textId="15DAE234"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811451" w:rsidRPr="0031187B">
        <w:rPr>
          <w:sz w:val="24"/>
        </w:rPr>
        <w:t xml:space="preserve"> </w:t>
      </w:r>
      <w:r w:rsidRPr="0031187B">
        <w:rPr>
          <w:i/>
          <w:sz w:val="24"/>
        </w:rPr>
        <w:t>Ibid</w:t>
      </w:r>
      <w:r w:rsidRPr="0031187B">
        <w:rPr>
          <w:sz w:val="24"/>
        </w:rPr>
        <w:t>.</w:t>
      </w:r>
    </w:p>
    <w:p w14:paraId="092497B2" w14:textId="77777777" w:rsidR="00811451" w:rsidRPr="0031187B" w:rsidRDefault="00811451" w:rsidP="009C2738">
      <w:pPr>
        <w:pStyle w:val="FootnoteText"/>
        <w:widowControl/>
        <w:jc w:val="both"/>
        <w:rPr>
          <w:sz w:val="24"/>
          <w:u w:val="single"/>
        </w:rPr>
      </w:pPr>
    </w:p>
  </w:footnote>
  <w:footnote w:id="9">
    <w:p w14:paraId="1FF02E92" w14:textId="4E120543" w:rsidR="005441D0"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811451" w:rsidRPr="0031187B">
        <w:rPr>
          <w:sz w:val="24"/>
        </w:rPr>
        <w:t xml:space="preserve"> </w:t>
      </w:r>
      <w:r w:rsidRPr="0031187B">
        <w:rPr>
          <w:i/>
          <w:sz w:val="24"/>
        </w:rPr>
        <w:t>See, e.g., Lasky v. Borough of Hightstown</w:t>
      </w:r>
      <w:r w:rsidRPr="0031187B">
        <w:rPr>
          <w:sz w:val="24"/>
        </w:rPr>
        <w:t xml:space="preserve">, 426 </w:t>
      </w:r>
      <w:r w:rsidRPr="0031187B">
        <w:rPr>
          <w:i/>
          <w:sz w:val="24"/>
        </w:rPr>
        <w:t>N.J. Super</w:t>
      </w:r>
      <w:r w:rsidRPr="0031187B">
        <w:rPr>
          <w:sz w:val="24"/>
        </w:rPr>
        <w:t xml:space="preserve">. 68, 78 (App. Div. 2012) (holding that when plaintiff’s need for accommodation is obvious, there is no requirement that plaintiff request accommodation before filing suit in order to prevail on failure-to-accommodate claim); </w:t>
      </w:r>
      <w:r w:rsidRPr="0031187B">
        <w:rPr>
          <w:i/>
          <w:sz w:val="24"/>
        </w:rPr>
        <w:t>N.J.A.C</w:t>
      </w:r>
      <w:r w:rsidRPr="0031187B">
        <w:rPr>
          <w:sz w:val="24"/>
        </w:rPr>
        <w:t>. 13:13-2.5(b)(2) (requiring employer to consider reasonable accommodation before firing, demoting, or refusing to hire or promote person with disability on grounds that disability precludes job performance).</w:t>
      </w:r>
    </w:p>
    <w:p w14:paraId="3F353BC5" w14:textId="77777777" w:rsidR="009C2738" w:rsidRPr="0031187B" w:rsidRDefault="009C2738" w:rsidP="009C2738">
      <w:pPr>
        <w:pStyle w:val="FootnoteText"/>
        <w:widowControl/>
        <w:jc w:val="both"/>
        <w:rPr>
          <w:sz w:val="24"/>
        </w:rPr>
      </w:pPr>
    </w:p>
  </w:footnote>
  <w:footnote w:id="10">
    <w:p w14:paraId="5C376364" w14:textId="275AD321"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361E35" w:rsidRPr="0031187B">
        <w:rPr>
          <w:sz w:val="24"/>
        </w:rPr>
        <w:t xml:space="preserve"> </w:t>
      </w:r>
      <w:r w:rsidRPr="0031187B">
        <w:rPr>
          <w:sz w:val="24"/>
        </w:rPr>
        <w:t xml:space="preserve">This list of potential accommodations is drawn from </w:t>
      </w:r>
      <w:r w:rsidRPr="0031187B">
        <w:rPr>
          <w:i/>
          <w:sz w:val="24"/>
        </w:rPr>
        <w:t>N.J.A.C.</w:t>
      </w:r>
      <w:r w:rsidRPr="0031187B">
        <w:rPr>
          <w:sz w:val="24"/>
        </w:rPr>
        <w:t xml:space="preserve"> 13:13-2.5(b)(1).  It is not intended to be exhaustive.</w:t>
      </w:r>
    </w:p>
    <w:p w14:paraId="0CDFCE38" w14:textId="77777777" w:rsidR="00811451" w:rsidRPr="0031187B" w:rsidRDefault="00811451" w:rsidP="009C2738">
      <w:pPr>
        <w:pStyle w:val="FootnoteText"/>
        <w:widowControl/>
        <w:jc w:val="both"/>
        <w:rPr>
          <w:sz w:val="24"/>
        </w:rPr>
      </w:pPr>
    </w:p>
  </w:footnote>
  <w:footnote w:id="11">
    <w:p w14:paraId="53ECD0B0" w14:textId="590579D8" w:rsidR="005441D0" w:rsidRPr="0031187B" w:rsidRDefault="005441D0" w:rsidP="009C2738">
      <w:pPr>
        <w:pStyle w:val="FootnoteText"/>
        <w:widowControl/>
        <w:jc w:val="both"/>
        <w:rPr>
          <w:sz w:val="24"/>
        </w:rPr>
      </w:pPr>
      <w:r w:rsidRPr="0031187B">
        <w:rPr>
          <w:rStyle w:val="FootnoteReference"/>
          <w:sz w:val="24"/>
        </w:rPr>
        <w:footnoteRef/>
      </w:r>
      <w:r w:rsidRPr="0031187B">
        <w:rPr>
          <w:sz w:val="24"/>
        </w:rPr>
        <w:t xml:space="preserve"> </w:t>
      </w:r>
      <w:r w:rsidR="00361E35" w:rsidRPr="0031187B">
        <w:rPr>
          <w:sz w:val="24"/>
        </w:rPr>
        <w:t xml:space="preserve"> </w:t>
      </w:r>
      <w:r w:rsidRPr="0031187B">
        <w:rPr>
          <w:i/>
          <w:sz w:val="24"/>
        </w:rPr>
        <w:t>Victor v. State</w:t>
      </w:r>
      <w:r w:rsidRPr="0031187B">
        <w:rPr>
          <w:sz w:val="24"/>
        </w:rPr>
        <w:t xml:space="preserve">, 203 </w:t>
      </w:r>
      <w:r w:rsidRPr="0031187B">
        <w:rPr>
          <w:i/>
          <w:sz w:val="24"/>
        </w:rPr>
        <w:t>N.J</w:t>
      </w:r>
      <w:r w:rsidRPr="0031187B">
        <w:rPr>
          <w:sz w:val="24"/>
        </w:rPr>
        <w:t>. 383, 424 (2010).</w:t>
      </w:r>
    </w:p>
    <w:p w14:paraId="45A93F37" w14:textId="77777777" w:rsidR="00811451" w:rsidRPr="0031187B" w:rsidRDefault="00811451" w:rsidP="009C2738">
      <w:pPr>
        <w:pStyle w:val="FootnoteText"/>
        <w:widowControl/>
        <w:jc w:val="both"/>
        <w:rPr>
          <w:sz w:val="24"/>
        </w:rPr>
      </w:pPr>
    </w:p>
  </w:footnote>
  <w:footnote w:id="12">
    <w:p w14:paraId="3F0ED637" w14:textId="17DEF23B" w:rsidR="005441D0" w:rsidRDefault="005441D0" w:rsidP="009C2738">
      <w:pPr>
        <w:pStyle w:val="FootnoteText"/>
        <w:widowControl/>
        <w:jc w:val="both"/>
        <w:rPr>
          <w:sz w:val="24"/>
        </w:rPr>
      </w:pPr>
      <w:r w:rsidRPr="0031187B">
        <w:rPr>
          <w:rStyle w:val="FootnoteReference"/>
          <w:sz w:val="24"/>
        </w:rPr>
        <w:footnoteRef/>
      </w:r>
      <w:r w:rsidR="00361E35" w:rsidRPr="0031187B">
        <w:rPr>
          <w:sz w:val="24"/>
        </w:rPr>
        <w:t xml:space="preserve"> </w:t>
      </w:r>
      <w:r w:rsidRPr="0031187B">
        <w:rPr>
          <w:sz w:val="24"/>
        </w:rPr>
        <w:t xml:space="preserve"> </w:t>
      </w:r>
      <w:r w:rsidRPr="0031187B">
        <w:rPr>
          <w:i/>
          <w:sz w:val="24"/>
        </w:rPr>
        <w:t>N.J.A.C</w:t>
      </w:r>
      <w:r w:rsidR="00141532" w:rsidRPr="0031187B">
        <w:rPr>
          <w:i/>
          <w:sz w:val="24"/>
        </w:rPr>
        <w:t>.</w:t>
      </w:r>
      <w:r w:rsidRPr="0031187B">
        <w:rPr>
          <w:sz w:val="24"/>
        </w:rPr>
        <w:t xml:space="preserve"> 13:13-2.5(b) (requiring employer to provide reasonable accommodation “unless the employer can demonstrate that the accommodation would impose an undue hardship on the operation of its business”).</w:t>
      </w:r>
    </w:p>
    <w:p w14:paraId="3728CF9E" w14:textId="77777777" w:rsidR="009C2738" w:rsidRPr="0031187B" w:rsidRDefault="009C2738" w:rsidP="009C2738">
      <w:pPr>
        <w:pStyle w:val="FootnoteText"/>
        <w:widowControl/>
        <w:jc w:val="both"/>
        <w:rPr>
          <w:sz w:val="24"/>
        </w:rPr>
      </w:pPr>
    </w:p>
  </w:footnote>
  <w:footnote w:id="13">
    <w:p w14:paraId="373CD37F" w14:textId="514FE907" w:rsidR="005441D0" w:rsidRPr="0031187B" w:rsidRDefault="005441D0" w:rsidP="009C2738">
      <w:pPr>
        <w:pStyle w:val="FootnoteText"/>
        <w:widowControl/>
        <w:jc w:val="both"/>
        <w:rPr>
          <w:sz w:val="24"/>
        </w:rPr>
      </w:pPr>
      <w:r w:rsidRPr="0031187B">
        <w:rPr>
          <w:rStyle w:val="FootnoteReference"/>
          <w:sz w:val="24"/>
        </w:rPr>
        <w:footnoteRef/>
      </w:r>
      <w:r w:rsidR="00361E35" w:rsidRPr="0031187B">
        <w:rPr>
          <w:sz w:val="24"/>
        </w:rPr>
        <w:t xml:space="preserve"> </w:t>
      </w:r>
      <w:r w:rsidRPr="0031187B">
        <w:rPr>
          <w:sz w:val="24"/>
        </w:rPr>
        <w:t xml:space="preserve"> </w:t>
      </w:r>
      <w:r w:rsidRPr="0031187B">
        <w:rPr>
          <w:i/>
          <w:sz w:val="24"/>
        </w:rPr>
        <w:t>N.J.A.C.</w:t>
      </w:r>
      <w:r w:rsidRPr="0031187B">
        <w:rPr>
          <w:sz w:val="24"/>
        </w:rPr>
        <w:t xml:space="preserve"> 13:13-2.5(b)(3).</w:t>
      </w:r>
    </w:p>
    <w:p w14:paraId="01AB95A7" w14:textId="77777777" w:rsidR="00361E35" w:rsidRPr="0031187B" w:rsidRDefault="00361E35" w:rsidP="009C2738">
      <w:pPr>
        <w:pStyle w:val="FootnoteText"/>
        <w:widowControl/>
        <w:jc w:val="both"/>
        <w:rPr>
          <w:sz w:val="24"/>
        </w:rPr>
      </w:pPr>
    </w:p>
  </w:footnote>
  <w:footnote w:id="14">
    <w:p w14:paraId="1F41C26B" w14:textId="4D075F34" w:rsidR="00E66ADB" w:rsidRPr="0031187B" w:rsidRDefault="00E66ADB" w:rsidP="009C2738">
      <w:pPr>
        <w:pStyle w:val="FootnoteText"/>
        <w:widowControl/>
        <w:jc w:val="both"/>
        <w:rPr>
          <w:sz w:val="24"/>
        </w:rPr>
      </w:pPr>
      <w:r w:rsidRPr="0031187B">
        <w:rPr>
          <w:rStyle w:val="FootnoteReference"/>
          <w:sz w:val="24"/>
        </w:rPr>
        <w:footnoteRef/>
      </w:r>
      <w:r w:rsidR="00361E35" w:rsidRPr="0031187B">
        <w:rPr>
          <w:sz w:val="24"/>
        </w:rPr>
        <w:t xml:space="preserve"> </w:t>
      </w:r>
      <w:r w:rsidRPr="0031187B">
        <w:rPr>
          <w:sz w:val="24"/>
        </w:rPr>
        <w:t xml:space="preserve"> </w:t>
      </w:r>
      <w:r w:rsidRPr="0031187B">
        <w:rPr>
          <w:i/>
          <w:sz w:val="24"/>
        </w:rPr>
        <w:t>Tynan</w:t>
      </w:r>
      <w:r w:rsidRPr="0031187B">
        <w:rPr>
          <w:sz w:val="24"/>
        </w:rPr>
        <w:t xml:space="preserve">, 351 </w:t>
      </w:r>
      <w:r w:rsidRPr="0031187B">
        <w:rPr>
          <w:i/>
          <w:sz w:val="24"/>
        </w:rPr>
        <w:t>N.J. Super</w:t>
      </w:r>
      <w:r w:rsidRPr="0031187B">
        <w:rPr>
          <w:sz w:val="24"/>
        </w:rPr>
        <w:t xml:space="preserve">. </w:t>
      </w:r>
      <w:r w:rsidR="00795B7F">
        <w:rPr>
          <w:sz w:val="24"/>
        </w:rPr>
        <w:t xml:space="preserve">at </w:t>
      </w:r>
      <w:r w:rsidRPr="0031187B">
        <w:rPr>
          <w:sz w:val="24"/>
        </w:rPr>
        <w:t>400.</w:t>
      </w:r>
    </w:p>
    <w:p w14:paraId="4CDF80B9" w14:textId="77777777" w:rsidR="00811451" w:rsidRPr="0031187B" w:rsidRDefault="00811451" w:rsidP="009C2738">
      <w:pPr>
        <w:pStyle w:val="FootnoteText"/>
        <w:widowControl/>
        <w:jc w:val="both"/>
        <w:rPr>
          <w:i/>
          <w:sz w:val="24"/>
        </w:rPr>
      </w:pPr>
    </w:p>
  </w:footnote>
  <w:footnote w:id="15">
    <w:p w14:paraId="4D93D3E4" w14:textId="609742CD" w:rsidR="00434F0A" w:rsidRDefault="00434F0A" w:rsidP="009C2738">
      <w:pPr>
        <w:pStyle w:val="FootnoteText"/>
        <w:widowControl/>
        <w:jc w:val="both"/>
        <w:rPr>
          <w:i/>
          <w:iCs/>
          <w:sz w:val="24"/>
        </w:rPr>
      </w:pPr>
      <w:r w:rsidRPr="0031187B">
        <w:rPr>
          <w:rStyle w:val="FootnoteReference"/>
          <w:sz w:val="24"/>
        </w:rPr>
        <w:footnoteRef/>
      </w:r>
      <w:r w:rsidRPr="0031187B">
        <w:rPr>
          <w:sz w:val="24"/>
        </w:rPr>
        <w:t xml:space="preserve"> </w:t>
      </w:r>
      <w:r w:rsidR="00056B6A" w:rsidRPr="0031187B">
        <w:rPr>
          <w:sz w:val="24"/>
        </w:rPr>
        <w:t xml:space="preserve"> </w:t>
      </w:r>
      <w:r w:rsidRPr="0031187B">
        <w:rPr>
          <w:i/>
          <w:iCs/>
          <w:sz w:val="24"/>
        </w:rPr>
        <w:t>Ibid.</w:t>
      </w:r>
    </w:p>
    <w:p w14:paraId="25EA8EC9" w14:textId="77777777" w:rsidR="00BF0C2E" w:rsidRPr="0031187B" w:rsidRDefault="00BF0C2E" w:rsidP="009C2738">
      <w:pPr>
        <w:pStyle w:val="FootnoteText"/>
        <w:widowControl/>
        <w:jc w:val="both"/>
        <w:rPr>
          <w:sz w:val="24"/>
        </w:rPr>
      </w:pPr>
    </w:p>
  </w:footnote>
  <w:footnote w:id="16">
    <w:p w14:paraId="38CC48B4" w14:textId="2C8E68E7" w:rsidR="00E66ADB" w:rsidRPr="0031187B" w:rsidRDefault="00E66ADB" w:rsidP="009C2738">
      <w:pPr>
        <w:pStyle w:val="FootnoteText"/>
        <w:widowControl/>
        <w:jc w:val="both"/>
        <w:rPr>
          <w:sz w:val="24"/>
        </w:rPr>
      </w:pPr>
      <w:r w:rsidRPr="0031187B">
        <w:rPr>
          <w:rStyle w:val="FootnoteReference"/>
          <w:sz w:val="24"/>
        </w:rPr>
        <w:footnoteRef/>
      </w:r>
      <w:r w:rsidRPr="0031187B">
        <w:rPr>
          <w:sz w:val="24"/>
        </w:rPr>
        <w:t xml:space="preserve"> </w:t>
      </w:r>
      <w:r w:rsidR="00056B6A" w:rsidRPr="0031187B">
        <w:rPr>
          <w:sz w:val="24"/>
        </w:rPr>
        <w:t xml:space="preserve"> </w:t>
      </w:r>
      <w:r w:rsidRPr="0031187B">
        <w:rPr>
          <w:i/>
          <w:sz w:val="24"/>
        </w:rPr>
        <w:t xml:space="preserve">Victor, </w:t>
      </w:r>
      <w:r w:rsidRPr="0031187B">
        <w:rPr>
          <w:sz w:val="24"/>
        </w:rPr>
        <w:t xml:space="preserve">203 </w:t>
      </w:r>
      <w:r w:rsidRPr="0031187B">
        <w:rPr>
          <w:i/>
          <w:sz w:val="24"/>
        </w:rPr>
        <w:t>N.J</w:t>
      </w:r>
      <w:r w:rsidRPr="0031187B">
        <w:rPr>
          <w:sz w:val="24"/>
        </w:rPr>
        <w:t xml:space="preserve">. </w:t>
      </w:r>
      <w:r w:rsidR="00795B7F">
        <w:rPr>
          <w:sz w:val="24"/>
        </w:rPr>
        <w:t xml:space="preserve">at </w:t>
      </w:r>
      <w:r w:rsidRPr="0031187B">
        <w:rPr>
          <w:sz w:val="24"/>
        </w:rPr>
        <w:t>424.</w:t>
      </w:r>
    </w:p>
    <w:p w14:paraId="7DC769ED" w14:textId="77777777" w:rsidR="00811451" w:rsidRPr="0031187B" w:rsidRDefault="00811451" w:rsidP="009C2738">
      <w:pPr>
        <w:pStyle w:val="FootnoteText"/>
        <w:widowControl/>
        <w:jc w:val="both"/>
        <w:rPr>
          <w:i/>
          <w:sz w:val="24"/>
        </w:rPr>
      </w:pPr>
    </w:p>
  </w:footnote>
  <w:footnote w:id="17">
    <w:p w14:paraId="1D9503C0" w14:textId="3DBCB729" w:rsidR="002C2902" w:rsidRPr="0031187B" w:rsidRDefault="002C2902" w:rsidP="009C2738">
      <w:pPr>
        <w:pStyle w:val="FootnoteText"/>
        <w:widowControl/>
        <w:jc w:val="both"/>
        <w:rPr>
          <w:sz w:val="24"/>
        </w:rPr>
      </w:pPr>
      <w:r w:rsidRPr="0031187B">
        <w:rPr>
          <w:rStyle w:val="FootnoteReference"/>
          <w:sz w:val="24"/>
        </w:rPr>
        <w:footnoteRef/>
      </w:r>
      <w:r w:rsidRPr="0031187B">
        <w:rPr>
          <w:sz w:val="24"/>
        </w:rPr>
        <w:t xml:space="preserve"> </w:t>
      </w:r>
      <w:r w:rsidR="00056B6A" w:rsidRPr="0031187B">
        <w:rPr>
          <w:sz w:val="24"/>
        </w:rPr>
        <w:t xml:space="preserve"> </w:t>
      </w:r>
      <w:r w:rsidRPr="0031187B">
        <w:rPr>
          <w:i/>
          <w:sz w:val="24"/>
        </w:rPr>
        <w:t>N.J.A.C.</w:t>
      </w:r>
      <w:r w:rsidRPr="0031187B">
        <w:rPr>
          <w:sz w:val="24"/>
        </w:rPr>
        <w:t xml:space="preserve"> 13:13-2.5(b) (requiring employer to provide reasonable accommodation “unless the employer can demonstrate that the accommodation would impose an undue hardship on the operation of its business”).</w:t>
      </w:r>
    </w:p>
    <w:p w14:paraId="34E13983" w14:textId="77777777" w:rsidR="00361E35" w:rsidRPr="0031187B" w:rsidRDefault="00361E35" w:rsidP="009C2738">
      <w:pPr>
        <w:pStyle w:val="FootnoteText"/>
        <w:widowControl/>
        <w:jc w:val="both"/>
        <w:rPr>
          <w:sz w:val="24"/>
        </w:rPr>
      </w:pPr>
    </w:p>
  </w:footnote>
  <w:footnote w:id="18">
    <w:p w14:paraId="78BDAC3F" w14:textId="7AEF4396" w:rsidR="002C2902" w:rsidRPr="0031187B" w:rsidRDefault="002C2902" w:rsidP="009C2738">
      <w:pPr>
        <w:pStyle w:val="FootnoteText"/>
        <w:widowControl/>
        <w:jc w:val="both"/>
        <w:rPr>
          <w:sz w:val="24"/>
        </w:rPr>
      </w:pPr>
      <w:r w:rsidRPr="0031187B">
        <w:rPr>
          <w:rStyle w:val="FootnoteReference"/>
          <w:sz w:val="24"/>
        </w:rPr>
        <w:footnoteRef/>
      </w:r>
      <w:r w:rsidRPr="0031187B">
        <w:rPr>
          <w:sz w:val="24"/>
        </w:rPr>
        <w:t xml:space="preserve"> </w:t>
      </w:r>
      <w:r w:rsidR="00056B6A" w:rsidRPr="0031187B">
        <w:rPr>
          <w:sz w:val="24"/>
        </w:rPr>
        <w:t xml:space="preserve"> </w:t>
      </w:r>
      <w:r w:rsidRPr="0031187B">
        <w:rPr>
          <w:i/>
          <w:sz w:val="24"/>
        </w:rPr>
        <w:t>N.J.A.C.</w:t>
      </w:r>
      <w:r w:rsidRPr="0031187B">
        <w:rPr>
          <w:sz w:val="24"/>
        </w:rPr>
        <w:t xml:space="preserve"> 13:13-2.5(b)(3).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Bold" w:hAnsi="Times New Roman Bold"/>
        <w:b/>
      </w:rPr>
      <w:id w:val="1302502201"/>
      <w:docPartObj>
        <w:docPartGallery w:val="Page Numbers (Top of Page)"/>
        <w:docPartUnique/>
      </w:docPartObj>
    </w:sdtPr>
    <w:sdtEndPr/>
    <w:sdtContent>
      <w:p w14:paraId="1F0DECF4" w14:textId="017080FD" w:rsidR="0092000D" w:rsidRDefault="0092000D" w:rsidP="0031187B">
        <w:pPr>
          <w:pStyle w:val="Footer"/>
          <w:tabs>
            <w:tab w:val="clear" w:pos="4320"/>
            <w:tab w:val="clear" w:pos="8640"/>
          </w:tabs>
          <w:jc w:val="right"/>
          <w:rPr>
            <w:rFonts w:ascii="Times New Roman Bold" w:hAnsi="Times New Roman Bold"/>
            <w:b/>
          </w:rPr>
        </w:pPr>
        <w:r>
          <w:rPr>
            <w:rFonts w:ascii="Times New Roman Bold" w:hAnsi="Times New Roman Bold"/>
            <w:b/>
          </w:rPr>
          <w:t xml:space="preserve">CHARGE 2.26 – </w:t>
        </w:r>
        <w:r w:rsidRPr="00717B39">
          <w:rPr>
            <w:rFonts w:ascii="Times New Roman Bold" w:hAnsi="Times New Roman Bold"/>
            <w:b/>
          </w:rPr>
          <w:t xml:space="preserve">Page </w:t>
        </w:r>
        <w:r w:rsidRPr="00717B39">
          <w:rPr>
            <w:rFonts w:ascii="Times New Roman Bold" w:hAnsi="Times New Roman Bold"/>
            <w:b/>
            <w:bCs/>
            <w:szCs w:val="24"/>
          </w:rPr>
          <w:fldChar w:fldCharType="begin"/>
        </w:r>
        <w:r w:rsidRPr="00717B39">
          <w:rPr>
            <w:rFonts w:ascii="Times New Roman Bold" w:hAnsi="Times New Roman Bold"/>
            <w:b/>
            <w:bCs/>
          </w:rPr>
          <w:instrText xml:space="preserve"> PAGE </w:instrText>
        </w:r>
        <w:r w:rsidRPr="00717B39">
          <w:rPr>
            <w:rFonts w:ascii="Times New Roman Bold" w:hAnsi="Times New Roman Bold"/>
            <w:b/>
            <w:bCs/>
            <w:szCs w:val="24"/>
          </w:rPr>
          <w:fldChar w:fldCharType="separate"/>
        </w:r>
        <w:r w:rsidR="002910A1">
          <w:rPr>
            <w:rFonts w:ascii="Times New Roman Bold" w:hAnsi="Times New Roman Bold"/>
            <w:b/>
            <w:bCs/>
            <w:noProof/>
          </w:rPr>
          <w:t>2</w:t>
        </w:r>
        <w:r w:rsidRPr="00717B39">
          <w:rPr>
            <w:rFonts w:ascii="Times New Roman Bold" w:hAnsi="Times New Roman Bold"/>
            <w:b/>
            <w:bCs/>
            <w:szCs w:val="24"/>
          </w:rPr>
          <w:fldChar w:fldCharType="end"/>
        </w:r>
        <w:r w:rsidRPr="00717B39">
          <w:rPr>
            <w:rFonts w:ascii="Times New Roman Bold" w:hAnsi="Times New Roman Bold"/>
            <w:b/>
          </w:rPr>
          <w:t xml:space="preserve"> of </w:t>
        </w:r>
        <w:r w:rsidRPr="00717B39">
          <w:rPr>
            <w:rFonts w:ascii="Times New Roman Bold" w:hAnsi="Times New Roman Bold"/>
            <w:b/>
            <w:bCs/>
            <w:szCs w:val="24"/>
          </w:rPr>
          <w:fldChar w:fldCharType="begin"/>
        </w:r>
        <w:r w:rsidRPr="00717B39">
          <w:rPr>
            <w:rFonts w:ascii="Times New Roman Bold" w:hAnsi="Times New Roman Bold"/>
            <w:b/>
            <w:bCs/>
          </w:rPr>
          <w:instrText xml:space="preserve"> NUMPAGES  </w:instrText>
        </w:r>
        <w:r w:rsidRPr="00717B39">
          <w:rPr>
            <w:rFonts w:ascii="Times New Roman Bold" w:hAnsi="Times New Roman Bold"/>
            <w:b/>
            <w:bCs/>
            <w:szCs w:val="24"/>
          </w:rPr>
          <w:fldChar w:fldCharType="separate"/>
        </w:r>
        <w:r w:rsidR="002910A1">
          <w:rPr>
            <w:rFonts w:ascii="Times New Roman Bold" w:hAnsi="Times New Roman Bold"/>
            <w:b/>
            <w:bCs/>
            <w:noProof/>
          </w:rPr>
          <w:t>8</w:t>
        </w:r>
        <w:r w:rsidRPr="00717B39">
          <w:rPr>
            <w:rFonts w:ascii="Times New Roman Bold" w:hAnsi="Times New Roman Bold"/>
            <w:b/>
            <w:bCs/>
            <w:szCs w:val="24"/>
          </w:rPr>
          <w:fldChar w:fldCharType="end"/>
        </w:r>
      </w:p>
    </w:sdtContent>
  </w:sdt>
  <w:p w14:paraId="1AC3BC20" w14:textId="77777777" w:rsidR="0092000D" w:rsidRDefault="00920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151DA"/>
    <w:multiLevelType w:val="hybridMultilevel"/>
    <w:tmpl w:val="F98400DC"/>
    <w:lvl w:ilvl="0" w:tplc="779874E6">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FB5A75"/>
    <w:multiLevelType w:val="hybridMultilevel"/>
    <w:tmpl w:val="07744936"/>
    <w:lvl w:ilvl="0" w:tplc="8CAE89C6">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398442CC"/>
    <w:multiLevelType w:val="hybridMultilevel"/>
    <w:tmpl w:val="F9DC0182"/>
    <w:lvl w:ilvl="0" w:tplc="1214CFF0">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323DB1"/>
    <w:multiLevelType w:val="hybridMultilevel"/>
    <w:tmpl w:val="EED2AEE2"/>
    <w:lvl w:ilvl="0" w:tplc="1944AC14">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4B0AB1"/>
    <w:multiLevelType w:val="hybridMultilevel"/>
    <w:tmpl w:val="7188D842"/>
    <w:lvl w:ilvl="0" w:tplc="6080AD5E">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C116ACE"/>
    <w:multiLevelType w:val="hybridMultilevel"/>
    <w:tmpl w:val="06C03DB4"/>
    <w:lvl w:ilvl="0" w:tplc="0CB4C84E">
      <w:start w:val="5"/>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6441115">
    <w:abstractNumId w:val="3"/>
  </w:num>
  <w:num w:numId="2" w16cid:durableId="2025208912">
    <w:abstractNumId w:val="5"/>
  </w:num>
  <w:num w:numId="3" w16cid:durableId="409692523">
    <w:abstractNumId w:val="4"/>
  </w:num>
  <w:num w:numId="4" w16cid:durableId="1414473339">
    <w:abstractNumId w:val="1"/>
  </w:num>
  <w:num w:numId="5" w16cid:durableId="2109540857">
    <w:abstractNumId w:val="0"/>
  </w:num>
  <w:num w:numId="6" w16cid:durableId="19492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SACTIVELLP:9632255.1"/>
    <w:docVar w:name="MPDocIDTemplate" w:val="%l:%n.%v"/>
    <w:docVar w:name="MPDocIDTemplateDefault" w:val="%l:%n.%v"/>
    <w:docVar w:name="NewDocStampType" w:val="7"/>
  </w:docVars>
  <w:rsids>
    <w:rsidRoot w:val="00FA57A1"/>
    <w:rsid w:val="00042F9E"/>
    <w:rsid w:val="000521A9"/>
    <w:rsid w:val="00056B6A"/>
    <w:rsid w:val="00062473"/>
    <w:rsid w:val="000749D5"/>
    <w:rsid w:val="000767AF"/>
    <w:rsid w:val="00086B04"/>
    <w:rsid w:val="00087DA0"/>
    <w:rsid w:val="00092995"/>
    <w:rsid w:val="000A4EBF"/>
    <w:rsid w:val="000A636B"/>
    <w:rsid w:val="000B604F"/>
    <w:rsid w:val="000C4D02"/>
    <w:rsid w:val="000D23B2"/>
    <w:rsid w:val="000D446C"/>
    <w:rsid w:val="000E799F"/>
    <w:rsid w:val="000F3DFD"/>
    <w:rsid w:val="000F5596"/>
    <w:rsid w:val="0010596B"/>
    <w:rsid w:val="00141532"/>
    <w:rsid w:val="0014290D"/>
    <w:rsid w:val="00157442"/>
    <w:rsid w:val="001A7178"/>
    <w:rsid w:val="001B2B95"/>
    <w:rsid w:val="001D273C"/>
    <w:rsid w:val="001F2994"/>
    <w:rsid w:val="001F55A6"/>
    <w:rsid w:val="00212A45"/>
    <w:rsid w:val="00216875"/>
    <w:rsid w:val="002233BD"/>
    <w:rsid w:val="002509BD"/>
    <w:rsid w:val="002743DF"/>
    <w:rsid w:val="002744CC"/>
    <w:rsid w:val="00281D25"/>
    <w:rsid w:val="002910A1"/>
    <w:rsid w:val="00292005"/>
    <w:rsid w:val="0029533E"/>
    <w:rsid w:val="002A0C21"/>
    <w:rsid w:val="002A3100"/>
    <w:rsid w:val="002A5721"/>
    <w:rsid w:val="002B23EC"/>
    <w:rsid w:val="002C2902"/>
    <w:rsid w:val="002C528C"/>
    <w:rsid w:val="002D5B60"/>
    <w:rsid w:val="002E050B"/>
    <w:rsid w:val="002E4909"/>
    <w:rsid w:val="00302A4E"/>
    <w:rsid w:val="0031187B"/>
    <w:rsid w:val="00320FF1"/>
    <w:rsid w:val="00334D6A"/>
    <w:rsid w:val="0035116B"/>
    <w:rsid w:val="0035140A"/>
    <w:rsid w:val="00351466"/>
    <w:rsid w:val="00361E35"/>
    <w:rsid w:val="00382ACE"/>
    <w:rsid w:val="003909F4"/>
    <w:rsid w:val="003A5484"/>
    <w:rsid w:val="003B102A"/>
    <w:rsid w:val="003C3996"/>
    <w:rsid w:val="003F3FFA"/>
    <w:rsid w:val="003F770E"/>
    <w:rsid w:val="0040217D"/>
    <w:rsid w:val="00425D79"/>
    <w:rsid w:val="00426751"/>
    <w:rsid w:val="00433869"/>
    <w:rsid w:val="00434F0A"/>
    <w:rsid w:val="004412EF"/>
    <w:rsid w:val="004430EA"/>
    <w:rsid w:val="004447EA"/>
    <w:rsid w:val="004677E0"/>
    <w:rsid w:val="004779B4"/>
    <w:rsid w:val="00481386"/>
    <w:rsid w:val="00493E8F"/>
    <w:rsid w:val="004A2CCB"/>
    <w:rsid w:val="004B1983"/>
    <w:rsid w:val="004C1AF1"/>
    <w:rsid w:val="004D52AF"/>
    <w:rsid w:val="004F023C"/>
    <w:rsid w:val="004F39D6"/>
    <w:rsid w:val="0050743C"/>
    <w:rsid w:val="005168CB"/>
    <w:rsid w:val="00525074"/>
    <w:rsid w:val="00541489"/>
    <w:rsid w:val="005441D0"/>
    <w:rsid w:val="0054658A"/>
    <w:rsid w:val="00547064"/>
    <w:rsid w:val="005806A7"/>
    <w:rsid w:val="005920FA"/>
    <w:rsid w:val="005940C3"/>
    <w:rsid w:val="005F0785"/>
    <w:rsid w:val="00601F5F"/>
    <w:rsid w:val="00604973"/>
    <w:rsid w:val="00614BB0"/>
    <w:rsid w:val="00622276"/>
    <w:rsid w:val="00634798"/>
    <w:rsid w:val="006515FA"/>
    <w:rsid w:val="006531E1"/>
    <w:rsid w:val="006563E5"/>
    <w:rsid w:val="00671CF1"/>
    <w:rsid w:val="00683B56"/>
    <w:rsid w:val="0068562A"/>
    <w:rsid w:val="0069237D"/>
    <w:rsid w:val="0069525E"/>
    <w:rsid w:val="006D1234"/>
    <w:rsid w:val="006F0601"/>
    <w:rsid w:val="00706132"/>
    <w:rsid w:val="00712C81"/>
    <w:rsid w:val="00717B39"/>
    <w:rsid w:val="00722BE9"/>
    <w:rsid w:val="00724274"/>
    <w:rsid w:val="007277D7"/>
    <w:rsid w:val="007465FE"/>
    <w:rsid w:val="00746DF3"/>
    <w:rsid w:val="00750406"/>
    <w:rsid w:val="00753561"/>
    <w:rsid w:val="007562C3"/>
    <w:rsid w:val="007576E8"/>
    <w:rsid w:val="00795B7F"/>
    <w:rsid w:val="007A18F4"/>
    <w:rsid w:val="007C2E92"/>
    <w:rsid w:val="007D045E"/>
    <w:rsid w:val="007D095D"/>
    <w:rsid w:val="007D375F"/>
    <w:rsid w:val="007D6AAC"/>
    <w:rsid w:val="007E1526"/>
    <w:rsid w:val="007E40A5"/>
    <w:rsid w:val="007F5DBD"/>
    <w:rsid w:val="00811451"/>
    <w:rsid w:val="00821371"/>
    <w:rsid w:val="00825C8A"/>
    <w:rsid w:val="008275C0"/>
    <w:rsid w:val="00834437"/>
    <w:rsid w:val="00841C25"/>
    <w:rsid w:val="00864EB3"/>
    <w:rsid w:val="0086593D"/>
    <w:rsid w:val="00871F03"/>
    <w:rsid w:val="00877486"/>
    <w:rsid w:val="00887092"/>
    <w:rsid w:val="00887E15"/>
    <w:rsid w:val="00890C79"/>
    <w:rsid w:val="008A1504"/>
    <w:rsid w:val="00902DAF"/>
    <w:rsid w:val="00917A40"/>
    <w:rsid w:val="0092000D"/>
    <w:rsid w:val="00953051"/>
    <w:rsid w:val="00981860"/>
    <w:rsid w:val="00981B3C"/>
    <w:rsid w:val="0099148D"/>
    <w:rsid w:val="009944D4"/>
    <w:rsid w:val="009A40C4"/>
    <w:rsid w:val="009A6AEC"/>
    <w:rsid w:val="009C22E8"/>
    <w:rsid w:val="009C2738"/>
    <w:rsid w:val="009E4847"/>
    <w:rsid w:val="009F2D17"/>
    <w:rsid w:val="009F6C7F"/>
    <w:rsid w:val="00A17CF8"/>
    <w:rsid w:val="00A3056B"/>
    <w:rsid w:val="00A4161A"/>
    <w:rsid w:val="00A77B96"/>
    <w:rsid w:val="00A879E5"/>
    <w:rsid w:val="00A93412"/>
    <w:rsid w:val="00AA1969"/>
    <w:rsid w:val="00AB1F38"/>
    <w:rsid w:val="00AD22CC"/>
    <w:rsid w:val="00B01942"/>
    <w:rsid w:val="00B04BED"/>
    <w:rsid w:val="00B22079"/>
    <w:rsid w:val="00B443EC"/>
    <w:rsid w:val="00B46C7B"/>
    <w:rsid w:val="00B525C9"/>
    <w:rsid w:val="00B5275A"/>
    <w:rsid w:val="00B57153"/>
    <w:rsid w:val="00B61A4E"/>
    <w:rsid w:val="00B66863"/>
    <w:rsid w:val="00B762B9"/>
    <w:rsid w:val="00B824FD"/>
    <w:rsid w:val="00B84842"/>
    <w:rsid w:val="00BA4819"/>
    <w:rsid w:val="00BB4658"/>
    <w:rsid w:val="00BB7DB8"/>
    <w:rsid w:val="00BC654B"/>
    <w:rsid w:val="00BC6E16"/>
    <w:rsid w:val="00BD0A6A"/>
    <w:rsid w:val="00BD0F4C"/>
    <w:rsid w:val="00BD2EB5"/>
    <w:rsid w:val="00BE1539"/>
    <w:rsid w:val="00BF0C2E"/>
    <w:rsid w:val="00C112BF"/>
    <w:rsid w:val="00C118CA"/>
    <w:rsid w:val="00C11FBC"/>
    <w:rsid w:val="00C1394A"/>
    <w:rsid w:val="00C6569E"/>
    <w:rsid w:val="00C75296"/>
    <w:rsid w:val="00C81329"/>
    <w:rsid w:val="00C854A7"/>
    <w:rsid w:val="00C96822"/>
    <w:rsid w:val="00C97470"/>
    <w:rsid w:val="00CC37AD"/>
    <w:rsid w:val="00D2533A"/>
    <w:rsid w:val="00D34C1A"/>
    <w:rsid w:val="00D47578"/>
    <w:rsid w:val="00D744BB"/>
    <w:rsid w:val="00D832DC"/>
    <w:rsid w:val="00D94636"/>
    <w:rsid w:val="00DA075A"/>
    <w:rsid w:val="00DB75F2"/>
    <w:rsid w:val="00DC1FC2"/>
    <w:rsid w:val="00DC4D52"/>
    <w:rsid w:val="00DD1AB4"/>
    <w:rsid w:val="00DD20C2"/>
    <w:rsid w:val="00DD7266"/>
    <w:rsid w:val="00DF0B0D"/>
    <w:rsid w:val="00DF34DA"/>
    <w:rsid w:val="00E00E98"/>
    <w:rsid w:val="00E12A3F"/>
    <w:rsid w:val="00E16908"/>
    <w:rsid w:val="00E17333"/>
    <w:rsid w:val="00E57D77"/>
    <w:rsid w:val="00E62F6C"/>
    <w:rsid w:val="00E66648"/>
    <w:rsid w:val="00E66ADB"/>
    <w:rsid w:val="00EA5382"/>
    <w:rsid w:val="00EB40C7"/>
    <w:rsid w:val="00ED5B26"/>
    <w:rsid w:val="00EE2FC8"/>
    <w:rsid w:val="00EF7666"/>
    <w:rsid w:val="00F032EC"/>
    <w:rsid w:val="00F04F2C"/>
    <w:rsid w:val="00F12F3B"/>
    <w:rsid w:val="00F203C0"/>
    <w:rsid w:val="00F336E8"/>
    <w:rsid w:val="00F43AC6"/>
    <w:rsid w:val="00F50253"/>
    <w:rsid w:val="00F56024"/>
    <w:rsid w:val="00F82C30"/>
    <w:rsid w:val="00F9405E"/>
    <w:rsid w:val="00FA57A1"/>
    <w:rsid w:val="00FB35A8"/>
    <w:rsid w:val="00FD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C039505"/>
  <w15:docId w15:val="{D3E2162B-9B7D-4658-8BC0-76F7B9A0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 w:val="left" w:pos="0"/>
        <w:tab w:val="left" w:pos="720"/>
      </w:tabs>
      <w:spacing w:after="240" w:line="240" w:lineRule="atLeast"/>
      <w:ind w:left="1440" w:hanging="1440"/>
      <w:jc w:val="both"/>
    </w:pPr>
    <w:rPr>
      <w:b/>
      <w:bCs/>
      <w:spacing w:val="-3"/>
    </w:rPr>
  </w:style>
  <w:style w:type="paragraph" w:styleId="BodyTextIndent2">
    <w:name w:val="Body Text Indent 2"/>
    <w:basedOn w:val="Normal"/>
    <w:pPr>
      <w:tabs>
        <w:tab w:val="left" w:pos="-720"/>
        <w:tab w:val="left" w:pos="0"/>
        <w:tab w:val="left" w:pos="720"/>
      </w:tabs>
      <w:ind w:left="2160" w:hanging="2160"/>
      <w:jc w:val="both"/>
    </w:pPr>
    <w:rPr>
      <w:spacing w:val="-3"/>
    </w:rPr>
  </w:style>
  <w:style w:type="paragraph" w:styleId="BalloonText">
    <w:name w:val="Balloon Text"/>
    <w:basedOn w:val="Normal"/>
    <w:semiHidden/>
    <w:rsid w:val="00FA57A1"/>
    <w:rPr>
      <w:rFonts w:ascii="Tahoma" w:hAnsi="Tahoma" w:cs="Tahoma"/>
      <w:sz w:val="16"/>
      <w:szCs w:val="16"/>
    </w:rPr>
  </w:style>
  <w:style w:type="paragraph" w:styleId="BodyText">
    <w:name w:val="Body Text"/>
    <w:basedOn w:val="Normal"/>
    <w:rsid w:val="00092995"/>
    <w:pPr>
      <w:tabs>
        <w:tab w:val="left" w:pos="-720"/>
      </w:tabs>
      <w:spacing w:line="480" w:lineRule="atLeast"/>
      <w:jc w:val="both"/>
    </w:pPr>
    <w:rPr>
      <w:spacing w:val="-3"/>
    </w:rPr>
  </w:style>
  <w:style w:type="paragraph" w:styleId="Revision">
    <w:name w:val="Revision"/>
    <w:hidden/>
    <w:uiPriority w:val="99"/>
    <w:semiHidden/>
    <w:rsid w:val="00493E8F"/>
    <w:rPr>
      <w:sz w:val="28"/>
      <w:szCs w:val="28"/>
    </w:rPr>
  </w:style>
  <w:style w:type="character" w:customStyle="1" w:styleId="HeaderChar">
    <w:name w:val="Header Char"/>
    <w:basedOn w:val="DefaultParagraphFont"/>
    <w:link w:val="Header"/>
    <w:uiPriority w:val="99"/>
    <w:rsid w:val="00717B39"/>
    <w:rPr>
      <w:sz w:val="28"/>
      <w:szCs w:val="28"/>
    </w:rPr>
  </w:style>
  <w:style w:type="character" w:customStyle="1" w:styleId="FooterChar">
    <w:name w:val="Footer Char"/>
    <w:basedOn w:val="DefaultParagraphFont"/>
    <w:link w:val="Footer"/>
    <w:uiPriority w:val="99"/>
    <w:rsid w:val="00717B39"/>
    <w:rPr>
      <w:sz w:val="28"/>
      <w:szCs w:val="28"/>
    </w:rPr>
  </w:style>
  <w:style w:type="character" w:customStyle="1" w:styleId="FootnoteTextChar">
    <w:name w:val="Footnote Text Char"/>
    <w:basedOn w:val="DefaultParagraphFont"/>
    <w:link w:val="FootnoteText"/>
    <w:semiHidden/>
    <w:rsid w:val="00525074"/>
    <w:rPr>
      <w:szCs w:val="24"/>
    </w:rPr>
  </w:style>
  <w:style w:type="paragraph" w:styleId="CommentSubject">
    <w:name w:val="annotation subject"/>
    <w:basedOn w:val="CommentText"/>
    <w:next w:val="CommentText"/>
    <w:link w:val="CommentSubjectChar"/>
    <w:semiHidden/>
    <w:unhideWhenUsed/>
    <w:rsid w:val="00434F0A"/>
    <w:rPr>
      <w:b/>
      <w:bCs/>
    </w:rPr>
  </w:style>
  <w:style w:type="character" w:customStyle="1" w:styleId="CommentTextChar">
    <w:name w:val="Comment Text Char"/>
    <w:basedOn w:val="DefaultParagraphFont"/>
    <w:link w:val="CommentText"/>
    <w:semiHidden/>
    <w:rsid w:val="00434F0A"/>
  </w:style>
  <w:style w:type="character" w:customStyle="1" w:styleId="CommentSubjectChar">
    <w:name w:val="Comment Subject Char"/>
    <w:basedOn w:val="CommentTextChar"/>
    <w:link w:val="CommentSubject"/>
    <w:semiHidden/>
    <w:rsid w:val="00434F0A"/>
    <w:rPr>
      <w:b/>
      <w:bCs/>
    </w:rPr>
  </w:style>
  <w:style w:type="character" w:customStyle="1" w:styleId="zzmpTrailerItem">
    <w:name w:val="zzmpTrailerItem"/>
    <w:basedOn w:val="DefaultParagraphFont"/>
    <w:rsid w:val="00722BE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41FE-6676-4EA2-985A-0ABC5EAE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10</Pages>
  <Words>1900</Words>
  <Characters>10445</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9-8-21 Proposed MCJC 2.26 (MB089450).DOCX</vt:lpstr>
    </vt:vector>
  </TitlesOfParts>
  <Company>State of NJ-Judiciary</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9-8-21 Proposed MCJC 2.26 (MB089450).DOCX</dc:title>
  <dc:creator>PC307704</dc:creator>
  <cp:lastModifiedBy>Kristi Robinson</cp:lastModifiedBy>
  <cp:revision>19</cp:revision>
  <cp:lastPrinted>2018-02-21T17:00:00Z</cp:lastPrinted>
  <dcterms:created xsi:type="dcterms:W3CDTF">2021-09-08T16:56:00Z</dcterms:created>
  <dcterms:modified xsi:type="dcterms:W3CDTF">2025-01-17T17:44:00Z</dcterms:modified>
</cp:coreProperties>
</file>