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4409CF" w14:textId="4B9FCE2D" w:rsidR="00457CAB" w:rsidRDefault="00457CAB" w:rsidP="009D2F1F">
      <w:pPr>
        <w:suppressAutoHyphens/>
        <w:ind w:left="1440" w:hanging="1440"/>
        <w:rPr>
          <w:sz w:val="28"/>
          <w:szCs w:val="28"/>
        </w:rPr>
      </w:pPr>
      <w:r>
        <w:rPr>
          <w:b/>
          <w:bCs/>
          <w:sz w:val="28"/>
          <w:szCs w:val="28"/>
        </w:rPr>
        <w:t>1.17</w:t>
      </w:r>
      <w:r>
        <w:rPr>
          <w:b/>
          <w:bCs/>
          <w:sz w:val="28"/>
          <w:szCs w:val="28"/>
        </w:rPr>
        <w:tab/>
        <w:t xml:space="preserve">INSTRUCTIONS TO JURY IN CASES IN WHICH ONE OR MORE DEFENDANTS HAVE SETTLED WITH THE </w:t>
      </w:r>
      <w:r w:rsidRPr="008C62B4">
        <w:rPr>
          <w:b/>
          <w:bCs/>
          <w:sz w:val="28"/>
          <w:szCs w:val="28"/>
        </w:rPr>
        <w:t>PLAINTIFF</w:t>
      </w:r>
      <w:r w:rsidRPr="008C62B4">
        <w:rPr>
          <w:sz w:val="28"/>
          <w:szCs w:val="28"/>
        </w:rPr>
        <w:t xml:space="preserve"> (Approved </w:t>
      </w:r>
      <w:r w:rsidR="00670ECD" w:rsidRPr="008C62B4">
        <w:rPr>
          <w:sz w:val="28"/>
          <w:szCs w:val="28"/>
        </w:rPr>
        <w:t>0</w:t>
      </w:r>
      <w:r w:rsidRPr="008C62B4">
        <w:rPr>
          <w:sz w:val="28"/>
          <w:szCs w:val="28"/>
        </w:rPr>
        <w:t>5/</w:t>
      </w:r>
      <w:r w:rsidR="008C62B4" w:rsidRPr="008C62B4">
        <w:rPr>
          <w:sz w:val="28"/>
          <w:szCs w:val="28"/>
        </w:rPr>
        <w:t>19</w:t>
      </w:r>
      <w:r w:rsidRPr="008C62B4">
        <w:rPr>
          <w:sz w:val="28"/>
          <w:szCs w:val="28"/>
        </w:rPr>
        <w:t>97</w:t>
      </w:r>
      <w:r w:rsidR="00670ECD" w:rsidRPr="008C62B4">
        <w:rPr>
          <w:sz w:val="28"/>
          <w:szCs w:val="28"/>
        </w:rPr>
        <w:t xml:space="preserve">; Revised </w:t>
      </w:r>
      <w:r w:rsidR="00E54979">
        <w:rPr>
          <w:sz w:val="28"/>
          <w:szCs w:val="28"/>
        </w:rPr>
        <w:t>01</w:t>
      </w:r>
      <w:r w:rsidR="00670ECD" w:rsidRPr="008C62B4">
        <w:rPr>
          <w:sz w:val="28"/>
          <w:szCs w:val="28"/>
        </w:rPr>
        <w:t>/20</w:t>
      </w:r>
      <w:r w:rsidR="003D33FD">
        <w:rPr>
          <w:sz w:val="28"/>
          <w:szCs w:val="28"/>
        </w:rPr>
        <w:t>2</w:t>
      </w:r>
      <w:r w:rsidR="00E54979">
        <w:rPr>
          <w:sz w:val="28"/>
          <w:szCs w:val="28"/>
        </w:rPr>
        <w:t>5</w:t>
      </w:r>
      <w:r w:rsidRPr="008C62B4">
        <w:rPr>
          <w:sz w:val="28"/>
          <w:szCs w:val="28"/>
        </w:rPr>
        <w:t>)</w:t>
      </w:r>
    </w:p>
    <w:p w14:paraId="31391FD8" w14:textId="77777777" w:rsidR="00457CAB" w:rsidRDefault="00457CAB" w:rsidP="00C4056C">
      <w:pPr>
        <w:tabs>
          <w:tab w:val="left" w:pos="720"/>
        </w:tabs>
        <w:suppressAutoHyphens/>
        <w:ind w:left="1440" w:hanging="1440"/>
        <w:rPr>
          <w:sz w:val="28"/>
          <w:szCs w:val="28"/>
        </w:rPr>
      </w:pPr>
    </w:p>
    <w:p w14:paraId="77876C8B" w14:textId="77777777" w:rsidR="00E7158E" w:rsidRDefault="00E7158E" w:rsidP="00C4056C">
      <w:pPr>
        <w:tabs>
          <w:tab w:val="left" w:pos="720"/>
        </w:tabs>
        <w:suppressAutoHyphens/>
        <w:ind w:left="1440" w:hanging="1440"/>
        <w:rPr>
          <w:sz w:val="28"/>
          <w:szCs w:val="28"/>
        </w:rPr>
      </w:pPr>
    </w:p>
    <w:p w14:paraId="215C10DA" w14:textId="4816E4A7" w:rsidR="00457CAB" w:rsidRDefault="00457CAB" w:rsidP="00C4056C">
      <w:pPr>
        <w:suppressAutoHyphens/>
        <w:spacing w:line="480" w:lineRule="auto"/>
        <w:jc w:val="both"/>
        <w:rPr>
          <w:sz w:val="28"/>
          <w:szCs w:val="28"/>
        </w:rPr>
      </w:pPr>
      <w:r>
        <w:rPr>
          <w:sz w:val="28"/>
          <w:szCs w:val="28"/>
        </w:rPr>
        <w:tab/>
      </w:r>
      <w:r w:rsidR="004F7B49" w:rsidRPr="004F7B49">
        <w:rPr>
          <w:iCs/>
          <w:sz w:val="28"/>
          <w:szCs w:val="28"/>
        </w:rPr>
        <w:t>[</w:t>
      </w:r>
      <w:r>
        <w:rPr>
          <w:i/>
          <w:iCs/>
          <w:sz w:val="28"/>
          <w:szCs w:val="28"/>
        </w:rPr>
        <w:t>Name</w:t>
      </w:r>
      <w:r w:rsidR="004F7B49" w:rsidRPr="004F7B49">
        <w:rPr>
          <w:iCs/>
          <w:sz w:val="28"/>
          <w:szCs w:val="28"/>
        </w:rPr>
        <w:t>]</w:t>
      </w:r>
      <w:r>
        <w:rPr>
          <w:sz w:val="28"/>
          <w:szCs w:val="28"/>
        </w:rPr>
        <w:t xml:space="preserve"> was originally named as a defendant in this case.</w:t>
      </w:r>
      <w:r>
        <w:rPr>
          <w:i/>
          <w:iCs/>
          <w:sz w:val="28"/>
          <w:szCs w:val="28"/>
        </w:rPr>
        <w:t xml:space="preserve"> </w:t>
      </w:r>
      <w:r w:rsidR="004F7B49" w:rsidRPr="004F7B49">
        <w:rPr>
          <w:iCs/>
          <w:sz w:val="28"/>
          <w:szCs w:val="28"/>
        </w:rPr>
        <w:t>[</w:t>
      </w:r>
      <w:r>
        <w:rPr>
          <w:i/>
          <w:iCs/>
          <w:sz w:val="28"/>
          <w:szCs w:val="28"/>
        </w:rPr>
        <w:t>Choose appropriate option:</w:t>
      </w:r>
      <w:r>
        <w:rPr>
          <w:sz w:val="28"/>
          <w:szCs w:val="28"/>
        </w:rPr>
        <w:t xml:space="preserve"> </w:t>
      </w:r>
      <w:r w:rsidRPr="00B05B41">
        <w:rPr>
          <w:i/>
          <w:iCs/>
          <w:sz w:val="28"/>
          <w:szCs w:val="28"/>
        </w:rPr>
        <w:t>Before the trial started/During the trial,</w:t>
      </w:r>
      <w:r w:rsidR="004F7B49" w:rsidRPr="004F7B49">
        <w:rPr>
          <w:iCs/>
          <w:sz w:val="28"/>
          <w:szCs w:val="28"/>
        </w:rPr>
        <w:t>]</w:t>
      </w:r>
      <w:r>
        <w:rPr>
          <w:sz w:val="28"/>
          <w:szCs w:val="28"/>
        </w:rPr>
        <w:t xml:space="preserve"> plaintiff and </w:t>
      </w:r>
      <w:r w:rsidR="004F7B49" w:rsidRPr="004F7B49">
        <w:rPr>
          <w:iCs/>
          <w:sz w:val="28"/>
          <w:szCs w:val="28"/>
        </w:rPr>
        <w:t>[</w:t>
      </w:r>
      <w:r>
        <w:rPr>
          <w:i/>
          <w:iCs/>
          <w:sz w:val="28"/>
          <w:szCs w:val="28"/>
        </w:rPr>
        <w:t>named defendant(s)</w:t>
      </w:r>
      <w:r w:rsidR="004F7B49" w:rsidRPr="004F7B49">
        <w:rPr>
          <w:iCs/>
          <w:sz w:val="28"/>
          <w:szCs w:val="28"/>
        </w:rPr>
        <w:t>]</w:t>
      </w:r>
      <w:r>
        <w:rPr>
          <w:sz w:val="28"/>
          <w:szCs w:val="28"/>
        </w:rPr>
        <w:t xml:space="preserve"> resolved their differences.  As a result</w:t>
      </w:r>
      <w:r w:rsidR="00E54979">
        <w:rPr>
          <w:sz w:val="28"/>
          <w:szCs w:val="28"/>
        </w:rPr>
        <w:t>,</w:t>
      </w:r>
      <w:r>
        <w:rPr>
          <w:sz w:val="28"/>
          <w:szCs w:val="28"/>
        </w:rPr>
        <w:t xml:space="preserve"> </w:t>
      </w:r>
      <w:r w:rsidR="004F7B49" w:rsidRPr="004F7B49">
        <w:rPr>
          <w:iCs/>
          <w:sz w:val="28"/>
          <w:szCs w:val="28"/>
        </w:rPr>
        <w:t>[</w:t>
      </w:r>
      <w:r>
        <w:rPr>
          <w:i/>
          <w:iCs/>
          <w:sz w:val="28"/>
          <w:szCs w:val="28"/>
        </w:rPr>
        <w:t>name</w:t>
      </w:r>
      <w:r w:rsidR="004F7B49" w:rsidRPr="004F7B49">
        <w:rPr>
          <w:iCs/>
          <w:sz w:val="28"/>
          <w:szCs w:val="28"/>
        </w:rPr>
        <w:t>]</w:t>
      </w:r>
      <w:r>
        <w:rPr>
          <w:sz w:val="28"/>
          <w:szCs w:val="28"/>
        </w:rPr>
        <w:t xml:space="preserve"> will not be present or represented by an attorney during this trial.  </w:t>
      </w:r>
    </w:p>
    <w:p w14:paraId="63FF3483" w14:textId="77777777" w:rsidR="00457CAB" w:rsidRDefault="00457CAB" w:rsidP="00C4056C">
      <w:pPr>
        <w:suppressAutoHyphens/>
        <w:spacing w:line="480" w:lineRule="auto"/>
        <w:jc w:val="both"/>
        <w:rPr>
          <w:sz w:val="28"/>
          <w:szCs w:val="28"/>
        </w:rPr>
      </w:pPr>
      <w:r>
        <w:rPr>
          <w:sz w:val="28"/>
          <w:szCs w:val="28"/>
        </w:rPr>
        <w:tab/>
        <w:t xml:space="preserve">You are not to speculate as to the reasons why the plaintiff and </w:t>
      </w:r>
      <w:r w:rsidR="004F7B49" w:rsidRPr="004F7B49">
        <w:rPr>
          <w:iCs/>
          <w:sz w:val="28"/>
          <w:szCs w:val="28"/>
        </w:rPr>
        <w:t>[</w:t>
      </w:r>
      <w:r>
        <w:rPr>
          <w:i/>
          <w:iCs/>
          <w:sz w:val="28"/>
          <w:szCs w:val="28"/>
        </w:rPr>
        <w:t>defendant</w:t>
      </w:r>
      <w:r w:rsidR="004F7B49" w:rsidRPr="004F7B49">
        <w:rPr>
          <w:iCs/>
          <w:sz w:val="28"/>
          <w:szCs w:val="28"/>
        </w:rPr>
        <w:t>]</w:t>
      </w:r>
      <w:r>
        <w:rPr>
          <w:sz w:val="28"/>
          <w:szCs w:val="28"/>
        </w:rPr>
        <w:t xml:space="preserve"> settled their dispute.  You should not be concerned about the amount, if any, that may have been paid to resolve the claim against </w:t>
      </w:r>
      <w:r w:rsidR="004F7B49" w:rsidRPr="004F7B49">
        <w:rPr>
          <w:iCs/>
          <w:sz w:val="28"/>
          <w:szCs w:val="28"/>
        </w:rPr>
        <w:t>[</w:t>
      </w:r>
      <w:r>
        <w:rPr>
          <w:i/>
          <w:iCs/>
          <w:sz w:val="28"/>
          <w:szCs w:val="28"/>
        </w:rPr>
        <w:t>defendant</w:t>
      </w:r>
      <w:r w:rsidR="004F7B49" w:rsidRPr="004F7B49">
        <w:rPr>
          <w:iCs/>
          <w:sz w:val="28"/>
          <w:szCs w:val="28"/>
        </w:rPr>
        <w:t>]</w:t>
      </w:r>
      <w:r>
        <w:rPr>
          <w:sz w:val="28"/>
          <w:szCs w:val="28"/>
        </w:rPr>
        <w:t xml:space="preserve">.  You must decide the case based on the evidence you find </w:t>
      </w:r>
      <w:proofErr w:type="gramStart"/>
      <w:r>
        <w:rPr>
          <w:sz w:val="28"/>
          <w:szCs w:val="28"/>
        </w:rPr>
        <w:t>credible</w:t>
      </w:r>
      <w:proofErr w:type="gramEnd"/>
      <w:r>
        <w:rPr>
          <w:sz w:val="28"/>
          <w:szCs w:val="28"/>
        </w:rPr>
        <w:t xml:space="preserve"> and the law presented at this trial.  </w:t>
      </w:r>
    </w:p>
    <w:p w14:paraId="508E8411" w14:textId="77777777" w:rsidR="00457CAB" w:rsidRDefault="00457CAB" w:rsidP="00C4056C">
      <w:pPr>
        <w:suppressAutoHyphens/>
        <w:spacing w:line="480" w:lineRule="auto"/>
        <w:jc w:val="both"/>
        <w:rPr>
          <w:sz w:val="28"/>
          <w:szCs w:val="28"/>
        </w:rPr>
      </w:pPr>
      <w:r>
        <w:rPr>
          <w:sz w:val="28"/>
          <w:szCs w:val="28"/>
        </w:rPr>
        <w:tab/>
        <w:t xml:space="preserve">Initially you will have to decide </w:t>
      </w:r>
      <w:proofErr w:type="gramStart"/>
      <w:r>
        <w:rPr>
          <w:sz w:val="28"/>
          <w:szCs w:val="28"/>
        </w:rPr>
        <w:t>whether or not</w:t>
      </w:r>
      <w:proofErr w:type="gramEnd"/>
      <w:r>
        <w:rPr>
          <w:sz w:val="28"/>
          <w:szCs w:val="28"/>
        </w:rPr>
        <w:t xml:space="preserve"> the remaining defendants were negligent, proximately causing the accident.  The burden of proof on these issues is on plaintiff </w:t>
      </w:r>
      <w:r w:rsidR="004F7B49" w:rsidRPr="004F7B49">
        <w:rPr>
          <w:iCs/>
          <w:sz w:val="28"/>
          <w:szCs w:val="28"/>
        </w:rPr>
        <w:t>[</w:t>
      </w:r>
      <w:r>
        <w:rPr>
          <w:i/>
          <w:iCs/>
          <w:sz w:val="28"/>
          <w:szCs w:val="28"/>
        </w:rPr>
        <w:t>name</w:t>
      </w:r>
      <w:r w:rsidR="004F7B49" w:rsidRPr="004F7B49">
        <w:rPr>
          <w:iCs/>
          <w:sz w:val="28"/>
          <w:szCs w:val="28"/>
        </w:rPr>
        <w:t>]</w:t>
      </w:r>
      <w:r>
        <w:rPr>
          <w:sz w:val="28"/>
          <w:szCs w:val="28"/>
        </w:rPr>
        <w:t xml:space="preserve">.  If you find that one or more of the remaining defendants were negligent and that such negligence was a proximate cause of the accident, you must next consider the conduct of the settling defendant.  You will have to determine </w:t>
      </w:r>
      <w:proofErr w:type="gramStart"/>
      <w:r>
        <w:rPr>
          <w:sz w:val="28"/>
          <w:szCs w:val="28"/>
        </w:rPr>
        <w:t>whether or not</w:t>
      </w:r>
      <w:proofErr w:type="gramEnd"/>
      <w:r>
        <w:rPr>
          <w:sz w:val="28"/>
          <w:szCs w:val="28"/>
        </w:rPr>
        <w:t xml:space="preserve"> the settling defendant </w:t>
      </w:r>
      <w:r w:rsidR="004F7B49" w:rsidRPr="004F7B49">
        <w:rPr>
          <w:iCs/>
          <w:sz w:val="28"/>
          <w:szCs w:val="28"/>
        </w:rPr>
        <w:t>[</w:t>
      </w:r>
      <w:r>
        <w:rPr>
          <w:i/>
          <w:iCs/>
          <w:sz w:val="28"/>
          <w:szCs w:val="28"/>
        </w:rPr>
        <w:t>name</w:t>
      </w:r>
      <w:r w:rsidR="004F7B49" w:rsidRPr="004F7B49">
        <w:rPr>
          <w:iCs/>
          <w:sz w:val="28"/>
          <w:szCs w:val="28"/>
        </w:rPr>
        <w:t>]</w:t>
      </w:r>
      <w:r>
        <w:rPr>
          <w:sz w:val="28"/>
          <w:szCs w:val="28"/>
        </w:rPr>
        <w:t xml:space="preserve"> was negligent and a proximate cause of the accident.  The burden of proving that the settling defendant was at fault is on the remaining defendant(s).  </w:t>
      </w:r>
    </w:p>
    <w:p w14:paraId="066D7165" w14:textId="77777777" w:rsidR="00E023EB" w:rsidRDefault="00E023EB" w:rsidP="00C4056C">
      <w:pPr>
        <w:suppressAutoHyphens/>
        <w:spacing w:line="480" w:lineRule="auto"/>
        <w:jc w:val="both"/>
        <w:rPr>
          <w:sz w:val="28"/>
          <w:szCs w:val="28"/>
        </w:rPr>
      </w:pPr>
      <w:r>
        <w:rPr>
          <w:sz w:val="28"/>
          <w:szCs w:val="28"/>
        </w:rPr>
        <w:br w:type="page"/>
      </w:r>
    </w:p>
    <w:p w14:paraId="2FA3F4C7" w14:textId="77777777" w:rsidR="00457CAB" w:rsidRDefault="00457CAB" w:rsidP="00C4056C">
      <w:pPr>
        <w:suppressAutoHyphens/>
        <w:spacing w:line="480" w:lineRule="auto"/>
        <w:jc w:val="both"/>
        <w:rPr>
          <w:sz w:val="28"/>
          <w:szCs w:val="28"/>
        </w:rPr>
      </w:pPr>
      <w:r>
        <w:rPr>
          <w:sz w:val="28"/>
          <w:szCs w:val="28"/>
        </w:rPr>
        <w:lastRenderedPageBreak/>
        <w:tab/>
      </w:r>
      <w:proofErr w:type="gramStart"/>
      <w:r>
        <w:rPr>
          <w:sz w:val="28"/>
          <w:szCs w:val="28"/>
        </w:rPr>
        <w:t>In the event that</w:t>
      </w:r>
      <w:proofErr w:type="gramEnd"/>
      <w:r>
        <w:rPr>
          <w:sz w:val="28"/>
          <w:szCs w:val="28"/>
        </w:rPr>
        <w:t xml:space="preserve"> you find that a settling defendant was negligent and a proximate cause of the accident, you must apportion fault in terms of percentages among/between the settling defendant(s) and the remaining defendant(s).  </w:t>
      </w:r>
    </w:p>
    <w:p w14:paraId="63719869" w14:textId="77777777" w:rsidR="00B05B41" w:rsidRDefault="00B05B41" w:rsidP="00C4056C">
      <w:pPr>
        <w:suppressAutoHyphens/>
        <w:ind w:left="720" w:right="720"/>
        <w:jc w:val="center"/>
        <w:rPr>
          <w:b/>
          <w:i/>
          <w:sz w:val="28"/>
          <w:szCs w:val="28"/>
        </w:rPr>
      </w:pPr>
    </w:p>
    <w:p w14:paraId="3FF23BE7" w14:textId="74B51EF5" w:rsidR="00670ECD" w:rsidRPr="008C62B4" w:rsidRDefault="00670ECD" w:rsidP="00C4056C">
      <w:pPr>
        <w:suppressAutoHyphens/>
        <w:ind w:left="720" w:right="720"/>
        <w:jc w:val="center"/>
        <w:rPr>
          <w:b/>
          <w:i/>
          <w:sz w:val="28"/>
          <w:szCs w:val="28"/>
        </w:rPr>
      </w:pPr>
      <w:r w:rsidRPr="008C62B4">
        <w:rPr>
          <w:b/>
          <w:i/>
          <w:sz w:val="28"/>
          <w:szCs w:val="28"/>
        </w:rPr>
        <w:t>NOTE TO JUDGE</w:t>
      </w:r>
    </w:p>
    <w:p w14:paraId="4AF0DCF1" w14:textId="77777777" w:rsidR="00670ECD" w:rsidRPr="008C62B4" w:rsidRDefault="00670ECD" w:rsidP="00C4056C">
      <w:pPr>
        <w:suppressAutoHyphens/>
        <w:rPr>
          <w:b/>
          <w:sz w:val="28"/>
          <w:szCs w:val="28"/>
        </w:rPr>
      </w:pPr>
    </w:p>
    <w:p w14:paraId="1558E318" w14:textId="619E3B6C" w:rsidR="00670ECD" w:rsidRPr="008C62B4" w:rsidRDefault="00670ECD" w:rsidP="00C4056C">
      <w:pPr>
        <w:suppressAutoHyphens/>
        <w:ind w:left="720" w:right="720"/>
        <w:jc w:val="both"/>
        <w:rPr>
          <w:sz w:val="28"/>
          <w:szCs w:val="28"/>
        </w:rPr>
      </w:pPr>
      <w:r w:rsidRPr="008C62B4">
        <w:rPr>
          <w:sz w:val="28"/>
          <w:szCs w:val="28"/>
        </w:rPr>
        <w:t xml:space="preserve">In </w:t>
      </w:r>
      <w:r w:rsidRPr="008C62B4">
        <w:rPr>
          <w:i/>
          <w:sz w:val="28"/>
          <w:szCs w:val="28"/>
        </w:rPr>
        <w:t xml:space="preserve">Hernandez v. </w:t>
      </w:r>
      <w:proofErr w:type="spellStart"/>
      <w:r w:rsidRPr="008C62B4">
        <w:rPr>
          <w:i/>
          <w:sz w:val="28"/>
          <w:szCs w:val="28"/>
        </w:rPr>
        <w:t>Chekenian</w:t>
      </w:r>
      <w:proofErr w:type="spellEnd"/>
      <w:r w:rsidRPr="008C62B4">
        <w:rPr>
          <w:sz w:val="28"/>
          <w:szCs w:val="28"/>
        </w:rPr>
        <w:t xml:space="preserve">, 447 </w:t>
      </w:r>
      <w:r w:rsidRPr="008C62B4">
        <w:rPr>
          <w:i/>
          <w:sz w:val="28"/>
          <w:szCs w:val="28"/>
        </w:rPr>
        <w:t>N.J. Super.</w:t>
      </w:r>
      <w:r w:rsidRPr="008C62B4">
        <w:rPr>
          <w:sz w:val="28"/>
          <w:szCs w:val="28"/>
        </w:rPr>
        <w:t xml:space="preserve"> 355 (Law Div. 2016), Judge Rea held that Model Civil Jury Charges 1.11G and 1.17 should only be used in cases where the defendant settles during trial.  It should not be given when defendants settle before the trial begins because it is irrelevant and unduly prejudicial.  In dicta, he questioned the use of the terms “settlement” and “settled” as being irrelevant as well as prejudicial.  This case, while published, has not been the subject of appellate review.  </w:t>
      </w:r>
      <w:r w:rsidR="00F06FA1" w:rsidRPr="003D33FD">
        <w:rPr>
          <w:i/>
          <w:iCs/>
          <w:sz w:val="28"/>
          <w:szCs w:val="28"/>
        </w:rPr>
        <w:t>But see</w:t>
      </w:r>
      <w:r w:rsidR="00F06FA1" w:rsidRPr="004A0306">
        <w:rPr>
          <w:sz w:val="28"/>
          <w:szCs w:val="28"/>
        </w:rPr>
        <w:t xml:space="preserve"> </w:t>
      </w:r>
      <w:r w:rsidR="00F06FA1" w:rsidRPr="003D33FD">
        <w:rPr>
          <w:i/>
          <w:iCs/>
          <w:sz w:val="28"/>
          <w:szCs w:val="28"/>
        </w:rPr>
        <w:t>Theob</w:t>
      </w:r>
      <w:r w:rsidR="00B05B41">
        <w:rPr>
          <w:i/>
          <w:iCs/>
          <w:sz w:val="28"/>
          <w:szCs w:val="28"/>
        </w:rPr>
        <w:t>o</w:t>
      </w:r>
      <w:r w:rsidR="00F06FA1" w:rsidRPr="003D33FD">
        <w:rPr>
          <w:i/>
          <w:iCs/>
          <w:sz w:val="28"/>
          <w:szCs w:val="28"/>
        </w:rPr>
        <w:t>ld v. Angelos</w:t>
      </w:r>
      <w:r w:rsidR="00F06FA1" w:rsidRPr="004A0306">
        <w:rPr>
          <w:sz w:val="28"/>
          <w:szCs w:val="28"/>
        </w:rPr>
        <w:t xml:space="preserve">, 40 </w:t>
      </w:r>
      <w:r w:rsidR="00F06FA1" w:rsidRPr="003D33FD">
        <w:rPr>
          <w:i/>
          <w:iCs/>
          <w:sz w:val="28"/>
          <w:szCs w:val="28"/>
        </w:rPr>
        <w:t>N.J.</w:t>
      </w:r>
      <w:r w:rsidR="00F06FA1" w:rsidRPr="003D33FD">
        <w:rPr>
          <w:sz w:val="28"/>
          <w:szCs w:val="28"/>
        </w:rPr>
        <w:t xml:space="preserve"> </w:t>
      </w:r>
      <w:r w:rsidR="00F06FA1" w:rsidRPr="004A0306">
        <w:rPr>
          <w:sz w:val="28"/>
          <w:szCs w:val="28"/>
        </w:rPr>
        <w:t>295 (1963)</w:t>
      </w:r>
      <w:r w:rsidR="00E54979">
        <w:rPr>
          <w:sz w:val="28"/>
          <w:szCs w:val="28"/>
        </w:rPr>
        <w:t>,</w:t>
      </w:r>
      <w:r w:rsidR="00F06FA1" w:rsidRPr="004A0306">
        <w:rPr>
          <w:sz w:val="28"/>
          <w:szCs w:val="28"/>
        </w:rPr>
        <w:t xml:space="preserve"> </w:t>
      </w:r>
      <w:r w:rsidR="00A92FFE">
        <w:rPr>
          <w:sz w:val="28"/>
          <w:szCs w:val="28"/>
        </w:rPr>
        <w:t xml:space="preserve">in which </w:t>
      </w:r>
      <w:r w:rsidR="00F06FA1" w:rsidRPr="004A0306">
        <w:rPr>
          <w:sz w:val="28"/>
          <w:szCs w:val="28"/>
        </w:rPr>
        <w:t>the New Jersey Supreme Court held that jurors have to be told the facts of a settlement in order to avoid juror speculation and that the danger of this speculation arises whenever a jury is asked to make a liability determination regarding an absent party, regardless of whether that party appeared for any portion of the trial</w:t>
      </w:r>
      <w:r w:rsidR="00F06FA1">
        <w:rPr>
          <w:sz w:val="28"/>
          <w:szCs w:val="28"/>
        </w:rPr>
        <w:t>.</w:t>
      </w:r>
    </w:p>
    <w:p w14:paraId="0E0CC585" w14:textId="77777777" w:rsidR="00670ECD" w:rsidRPr="008C62B4" w:rsidRDefault="00670ECD" w:rsidP="00C4056C">
      <w:pPr>
        <w:suppressAutoHyphens/>
        <w:ind w:left="720" w:right="720"/>
        <w:jc w:val="both"/>
        <w:rPr>
          <w:sz w:val="28"/>
          <w:szCs w:val="28"/>
        </w:rPr>
      </w:pPr>
    </w:p>
    <w:p w14:paraId="1B0242D4" w14:textId="77777777" w:rsidR="00457CAB" w:rsidRPr="008C62B4" w:rsidRDefault="00457CAB" w:rsidP="00B05B41">
      <w:pPr>
        <w:suppressAutoHyphens/>
        <w:ind w:firstLine="720"/>
        <w:rPr>
          <w:b/>
          <w:bCs/>
          <w:sz w:val="28"/>
          <w:szCs w:val="28"/>
        </w:rPr>
      </w:pPr>
      <w:bookmarkStart w:id="0" w:name="_Hlk181090228"/>
      <w:r w:rsidRPr="00F36FF3">
        <w:rPr>
          <w:b/>
          <w:bCs/>
          <w:sz w:val="28"/>
          <w:szCs w:val="28"/>
          <w:u w:val="single"/>
        </w:rPr>
        <w:t>Cases</w:t>
      </w:r>
      <w:r w:rsidRPr="008C62B4">
        <w:rPr>
          <w:b/>
          <w:bCs/>
          <w:sz w:val="28"/>
          <w:szCs w:val="28"/>
        </w:rPr>
        <w:t>:</w:t>
      </w:r>
    </w:p>
    <w:p w14:paraId="40CA8BBE" w14:textId="77777777" w:rsidR="00457CAB" w:rsidRPr="008C62B4" w:rsidRDefault="00457CAB" w:rsidP="00C4056C">
      <w:pPr>
        <w:suppressAutoHyphens/>
        <w:rPr>
          <w:b/>
          <w:sz w:val="28"/>
          <w:szCs w:val="28"/>
        </w:rPr>
      </w:pPr>
    </w:p>
    <w:p w14:paraId="355FD1DD" w14:textId="44E69C33" w:rsidR="00670ECD" w:rsidRPr="008C62B4" w:rsidRDefault="00457CAB" w:rsidP="00C4056C">
      <w:pPr>
        <w:suppressAutoHyphens/>
        <w:ind w:left="720" w:right="720"/>
        <w:jc w:val="both"/>
        <w:rPr>
          <w:sz w:val="28"/>
          <w:szCs w:val="28"/>
        </w:rPr>
      </w:pPr>
      <w:r w:rsidRPr="008C62B4">
        <w:rPr>
          <w:i/>
          <w:iCs/>
          <w:sz w:val="28"/>
          <w:szCs w:val="28"/>
        </w:rPr>
        <w:t>Theobald v. Angelos,</w:t>
      </w:r>
      <w:r w:rsidRPr="008C62B4">
        <w:rPr>
          <w:sz w:val="28"/>
          <w:szCs w:val="28"/>
        </w:rPr>
        <w:t xml:space="preserve"> 44 </w:t>
      </w:r>
      <w:r w:rsidRPr="008C62B4">
        <w:rPr>
          <w:i/>
          <w:iCs/>
          <w:sz w:val="28"/>
          <w:szCs w:val="28"/>
        </w:rPr>
        <w:t>N.J.</w:t>
      </w:r>
      <w:r w:rsidRPr="008C62B4">
        <w:rPr>
          <w:sz w:val="28"/>
          <w:szCs w:val="28"/>
        </w:rPr>
        <w:t xml:space="preserve"> 228 (1965); </w:t>
      </w:r>
      <w:r w:rsidRPr="008C62B4">
        <w:rPr>
          <w:i/>
          <w:iCs/>
          <w:sz w:val="28"/>
          <w:szCs w:val="28"/>
        </w:rPr>
        <w:t xml:space="preserve">Cartel Capital Corporation v. </w:t>
      </w:r>
      <w:proofErr w:type="spellStart"/>
      <w:r w:rsidRPr="008C62B4">
        <w:rPr>
          <w:i/>
          <w:iCs/>
          <w:sz w:val="28"/>
          <w:szCs w:val="28"/>
        </w:rPr>
        <w:t>Fireco</w:t>
      </w:r>
      <w:proofErr w:type="spellEnd"/>
      <w:r w:rsidRPr="008C62B4">
        <w:rPr>
          <w:i/>
          <w:iCs/>
          <w:sz w:val="28"/>
          <w:szCs w:val="28"/>
        </w:rPr>
        <w:t xml:space="preserve"> of New Jersey,</w:t>
      </w:r>
      <w:r w:rsidRPr="008C62B4">
        <w:rPr>
          <w:sz w:val="28"/>
          <w:szCs w:val="28"/>
        </w:rPr>
        <w:t xml:space="preserve"> 81 </w:t>
      </w:r>
      <w:r w:rsidRPr="008C62B4">
        <w:rPr>
          <w:i/>
          <w:iCs/>
          <w:sz w:val="28"/>
          <w:szCs w:val="28"/>
        </w:rPr>
        <w:t>N.J.</w:t>
      </w:r>
      <w:r w:rsidRPr="008C62B4">
        <w:rPr>
          <w:sz w:val="28"/>
          <w:szCs w:val="28"/>
        </w:rPr>
        <w:t xml:space="preserve"> 548, 569 (1980)</w:t>
      </w:r>
      <w:r w:rsidR="00E54979">
        <w:rPr>
          <w:sz w:val="28"/>
          <w:szCs w:val="28"/>
        </w:rPr>
        <w:t>;</w:t>
      </w:r>
      <w:r w:rsidRPr="008C62B4">
        <w:rPr>
          <w:sz w:val="28"/>
          <w:szCs w:val="28"/>
        </w:rPr>
        <w:t xml:space="preserve"> </w:t>
      </w:r>
      <w:r w:rsidRPr="008C62B4">
        <w:rPr>
          <w:i/>
          <w:iCs/>
          <w:sz w:val="28"/>
          <w:szCs w:val="28"/>
        </w:rPr>
        <w:t>Kiss v. Jacobs,</w:t>
      </w:r>
      <w:r w:rsidRPr="008C62B4">
        <w:rPr>
          <w:sz w:val="28"/>
          <w:szCs w:val="28"/>
        </w:rPr>
        <w:t xml:space="preserve"> 138 </w:t>
      </w:r>
      <w:r w:rsidRPr="008C62B4">
        <w:rPr>
          <w:i/>
          <w:iCs/>
          <w:sz w:val="28"/>
          <w:szCs w:val="28"/>
        </w:rPr>
        <w:t>N.J.</w:t>
      </w:r>
      <w:r w:rsidRPr="008C62B4">
        <w:rPr>
          <w:sz w:val="28"/>
          <w:szCs w:val="28"/>
        </w:rPr>
        <w:t xml:space="preserve"> 278, 283 (1994) </w:t>
      </w:r>
      <w:r w:rsidR="004D7503">
        <w:rPr>
          <w:sz w:val="28"/>
          <w:szCs w:val="28"/>
        </w:rPr>
        <w:t>(</w:t>
      </w:r>
      <w:r w:rsidRPr="008C62B4">
        <w:rPr>
          <w:sz w:val="28"/>
          <w:szCs w:val="28"/>
        </w:rPr>
        <w:t xml:space="preserve">fact finder must assess the negligence of the settling defendant as </w:t>
      </w:r>
      <w:r w:rsidR="005D037A">
        <w:rPr>
          <w:sz w:val="28"/>
          <w:szCs w:val="28"/>
        </w:rPr>
        <w:t xml:space="preserve">to </w:t>
      </w:r>
      <w:r w:rsidR="00605E71">
        <w:rPr>
          <w:sz w:val="28"/>
          <w:szCs w:val="28"/>
        </w:rPr>
        <w:t xml:space="preserve">the </w:t>
      </w:r>
      <w:r w:rsidRPr="008C62B4">
        <w:rPr>
          <w:sz w:val="28"/>
          <w:szCs w:val="28"/>
        </w:rPr>
        <w:t>non-settling defendant</w:t>
      </w:r>
      <w:r w:rsidR="004D7503">
        <w:rPr>
          <w:sz w:val="28"/>
          <w:szCs w:val="28"/>
        </w:rPr>
        <w:t>)</w:t>
      </w:r>
      <w:r w:rsidR="00E54979">
        <w:rPr>
          <w:sz w:val="28"/>
          <w:szCs w:val="28"/>
        </w:rPr>
        <w:t>;</w:t>
      </w:r>
      <w:r w:rsidRPr="008C62B4">
        <w:rPr>
          <w:sz w:val="28"/>
          <w:szCs w:val="28"/>
        </w:rPr>
        <w:t xml:space="preserve"> </w:t>
      </w:r>
      <w:r w:rsidRPr="008C62B4">
        <w:rPr>
          <w:i/>
          <w:iCs/>
          <w:sz w:val="28"/>
          <w:szCs w:val="28"/>
        </w:rPr>
        <w:t>Shatz v. TEC Technical Adhesives,</w:t>
      </w:r>
      <w:r w:rsidRPr="008C62B4">
        <w:rPr>
          <w:sz w:val="28"/>
          <w:szCs w:val="28"/>
        </w:rPr>
        <w:t xml:space="preserve"> 174 </w:t>
      </w:r>
      <w:r w:rsidRPr="008C62B4">
        <w:rPr>
          <w:i/>
          <w:iCs/>
          <w:sz w:val="28"/>
          <w:szCs w:val="28"/>
        </w:rPr>
        <w:t>N.J. Super</w:t>
      </w:r>
      <w:r w:rsidR="000B0C80" w:rsidRPr="008C62B4">
        <w:rPr>
          <w:i/>
          <w:iCs/>
          <w:sz w:val="28"/>
          <w:szCs w:val="28"/>
        </w:rPr>
        <w:t>.</w:t>
      </w:r>
      <w:r w:rsidRPr="008C62B4">
        <w:rPr>
          <w:sz w:val="28"/>
          <w:szCs w:val="28"/>
        </w:rPr>
        <w:t xml:space="preserve"> 135 (App. Div. 1980) </w:t>
      </w:r>
      <w:r w:rsidR="00E54979">
        <w:rPr>
          <w:sz w:val="28"/>
          <w:szCs w:val="28"/>
        </w:rPr>
        <w:t>(</w:t>
      </w:r>
      <w:r w:rsidRPr="008C62B4">
        <w:rPr>
          <w:sz w:val="28"/>
          <w:szCs w:val="28"/>
        </w:rPr>
        <w:t>defendant has the burden of proving that a settling defendant was negligent</w:t>
      </w:r>
      <w:r w:rsidR="00E54979">
        <w:rPr>
          <w:sz w:val="28"/>
          <w:szCs w:val="28"/>
        </w:rPr>
        <w:t>).</w:t>
      </w:r>
      <w:r w:rsidR="00670ECD" w:rsidRPr="008C62B4">
        <w:rPr>
          <w:sz w:val="28"/>
          <w:szCs w:val="28"/>
        </w:rPr>
        <w:t xml:space="preserve">  </w:t>
      </w:r>
      <w:r w:rsidR="008C62B4" w:rsidRPr="008C62B4">
        <w:rPr>
          <w:sz w:val="28"/>
          <w:szCs w:val="28"/>
        </w:rPr>
        <w:t>As to whether set</w:t>
      </w:r>
      <w:r w:rsidR="00670ECD" w:rsidRPr="008C62B4">
        <w:rPr>
          <w:sz w:val="28"/>
          <w:szCs w:val="28"/>
        </w:rPr>
        <w:t xml:space="preserve">tlements are admissible into evidence, see </w:t>
      </w:r>
      <w:r w:rsidR="00670ECD" w:rsidRPr="008C62B4">
        <w:rPr>
          <w:i/>
          <w:sz w:val="28"/>
          <w:szCs w:val="28"/>
        </w:rPr>
        <w:t>Shankman v. State, et al.</w:t>
      </w:r>
      <w:r w:rsidR="00670ECD" w:rsidRPr="008C62B4">
        <w:rPr>
          <w:sz w:val="28"/>
          <w:szCs w:val="28"/>
        </w:rPr>
        <w:t xml:space="preserve">, 184 </w:t>
      </w:r>
      <w:r w:rsidR="00670ECD" w:rsidRPr="008C62B4">
        <w:rPr>
          <w:i/>
          <w:sz w:val="28"/>
          <w:szCs w:val="28"/>
        </w:rPr>
        <w:t>N.J.</w:t>
      </w:r>
      <w:r w:rsidR="00670ECD" w:rsidRPr="008C62B4">
        <w:rPr>
          <w:sz w:val="28"/>
          <w:szCs w:val="28"/>
        </w:rPr>
        <w:t xml:space="preserve"> 187, 207-208 (2005).</w:t>
      </w:r>
    </w:p>
    <w:bookmarkEnd w:id="0"/>
    <w:p w14:paraId="3802DCF5" w14:textId="77777777" w:rsidR="00457CAB" w:rsidRDefault="00457CAB" w:rsidP="00C4056C">
      <w:pPr>
        <w:suppressAutoHyphens/>
        <w:jc w:val="both"/>
        <w:rPr>
          <w:sz w:val="28"/>
        </w:rPr>
      </w:pPr>
    </w:p>
    <w:sectPr w:rsidR="00457CAB" w:rsidSect="00E7158E">
      <w:headerReference w:type="default" r:id="rId6"/>
      <w:type w:val="continuous"/>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2C162E" w14:textId="77777777" w:rsidR="00A91386" w:rsidRDefault="00A91386">
      <w:r>
        <w:separator/>
      </w:r>
    </w:p>
  </w:endnote>
  <w:endnote w:type="continuationSeparator" w:id="0">
    <w:p w14:paraId="15A7FB89" w14:textId="77777777" w:rsidR="00A91386" w:rsidRDefault="00A9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31A350" w14:textId="77777777" w:rsidR="00A91386" w:rsidRDefault="00A91386">
      <w:r>
        <w:separator/>
      </w:r>
    </w:p>
  </w:footnote>
  <w:footnote w:type="continuationSeparator" w:id="0">
    <w:p w14:paraId="1542D277" w14:textId="77777777" w:rsidR="00A91386" w:rsidRDefault="00A9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73BF4B" w14:textId="77777777" w:rsidR="00883C93" w:rsidRDefault="00883C93" w:rsidP="002D6FDD">
    <w:pPr>
      <w:pStyle w:val="Header"/>
      <w:tabs>
        <w:tab w:val="clear" w:pos="8640"/>
      </w:tabs>
      <w:jc w:val="right"/>
    </w:pPr>
    <w:r>
      <w:rPr>
        <w:b/>
        <w:bCs/>
        <w:sz w:val="28"/>
      </w:rPr>
      <w:t xml:space="preserve">CHARGE 1.17 </w:t>
    </w:r>
    <w:r>
      <w:rPr>
        <w:b/>
        <w:bCs/>
        <w:sz w:val="28"/>
      </w:rPr>
      <w:sym w:font="Symbol" w:char="F0BE"/>
    </w:r>
    <w:r>
      <w:rPr>
        <w:b/>
        <w:bCs/>
        <w:sz w:val="28"/>
      </w:rPr>
      <w:t xml:space="preserve"> Page </w:t>
    </w:r>
    <w:r>
      <w:rPr>
        <w:b/>
        <w:bCs/>
        <w:sz w:val="28"/>
      </w:rPr>
      <w:fldChar w:fldCharType="begin"/>
    </w:r>
    <w:r>
      <w:rPr>
        <w:b/>
        <w:bCs/>
        <w:sz w:val="28"/>
      </w:rPr>
      <w:instrText xml:space="preserve"> PAGE </w:instrText>
    </w:r>
    <w:r>
      <w:rPr>
        <w:b/>
        <w:bCs/>
        <w:sz w:val="28"/>
      </w:rPr>
      <w:fldChar w:fldCharType="separate"/>
    </w:r>
    <w:r w:rsidR="009D2F1F">
      <w:rPr>
        <w:b/>
        <w:bCs/>
        <w:noProof/>
        <w:sz w:val="28"/>
      </w:rPr>
      <w:t>2</w:t>
    </w:r>
    <w:r>
      <w:rPr>
        <w:b/>
        <w:bCs/>
        <w:sz w:val="28"/>
      </w:rPr>
      <w:fldChar w:fldCharType="end"/>
    </w:r>
    <w:r>
      <w:rPr>
        <w:b/>
        <w:bCs/>
        <w:sz w:val="28"/>
      </w:rPr>
      <w:t xml:space="preserve"> of </w:t>
    </w:r>
    <w:r>
      <w:rPr>
        <w:b/>
        <w:bCs/>
        <w:sz w:val="28"/>
      </w:rPr>
      <w:fldChar w:fldCharType="begin"/>
    </w:r>
    <w:r>
      <w:rPr>
        <w:b/>
        <w:bCs/>
        <w:sz w:val="28"/>
      </w:rPr>
      <w:instrText xml:space="preserve"> NUMPAGES </w:instrText>
    </w:r>
    <w:r>
      <w:rPr>
        <w:b/>
        <w:bCs/>
        <w:sz w:val="28"/>
      </w:rPr>
      <w:fldChar w:fldCharType="separate"/>
    </w:r>
    <w:r w:rsidR="009D2F1F">
      <w:rPr>
        <w:b/>
        <w:bCs/>
        <w:noProof/>
        <w:sz w:val="28"/>
      </w:rPr>
      <w:t>2</w:t>
    </w:r>
    <w:r>
      <w:rPr>
        <w:b/>
        <w:bCs/>
        <w:sz w:val="2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074A"/>
    <w:rsid w:val="000B0C80"/>
    <w:rsid w:val="00253399"/>
    <w:rsid w:val="002D6FDD"/>
    <w:rsid w:val="003D33FD"/>
    <w:rsid w:val="00441B9F"/>
    <w:rsid w:val="00457CAB"/>
    <w:rsid w:val="00496CDD"/>
    <w:rsid w:val="004D7503"/>
    <w:rsid w:val="004F7B49"/>
    <w:rsid w:val="005D037A"/>
    <w:rsid w:val="00600CC9"/>
    <w:rsid w:val="00605E71"/>
    <w:rsid w:val="00670ECD"/>
    <w:rsid w:val="0069567D"/>
    <w:rsid w:val="00730ED8"/>
    <w:rsid w:val="00883C93"/>
    <w:rsid w:val="008C62B4"/>
    <w:rsid w:val="00965158"/>
    <w:rsid w:val="009D2F1F"/>
    <w:rsid w:val="009F3486"/>
    <w:rsid w:val="00A17CF8"/>
    <w:rsid w:val="00A91386"/>
    <w:rsid w:val="00A92FFE"/>
    <w:rsid w:val="00B05B41"/>
    <w:rsid w:val="00B66158"/>
    <w:rsid w:val="00B729ED"/>
    <w:rsid w:val="00BE074A"/>
    <w:rsid w:val="00C05DAC"/>
    <w:rsid w:val="00C0660F"/>
    <w:rsid w:val="00C4056C"/>
    <w:rsid w:val="00D523D7"/>
    <w:rsid w:val="00E023EB"/>
    <w:rsid w:val="00E54979"/>
    <w:rsid w:val="00E7158E"/>
    <w:rsid w:val="00ED78C7"/>
    <w:rsid w:val="00F069F4"/>
    <w:rsid w:val="00F06FA1"/>
    <w:rsid w:val="00F36F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947683"/>
  <w15:chartTrackingRefBased/>
  <w15:docId w15:val="{B03A06A6-F359-4E0B-BE4A-E68989661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cs="Arial"/>
      <w:b/>
      <w:bCs/>
      <w:sz w:val="28"/>
      <w:szCs w:val="32"/>
    </w:rPr>
  </w:style>
  <w:style w:type="paragraph" w:styleId="Heading2">
    <w:name w:val="heading 2"/>
    <w:basedOn w:val="Normal"/>
    <w:next w:val="Normal"/>
    <w:qFormat/>
    <w:pPr>
      <w:keepNext/>
      <w:outlineLvl w:val="1"/>
    </w:pPr>
    <w:rPr>
      <w:rFonts w:cs="Arial"/>
      <w:b/>
      <w:bCs/>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right" w:pos="8640"/>
      </w:tabs>
    </w:pPr>
  </w:style>
  <w:style w:type="paragraph" w:styleId="Footer">
    <w:name w:val="footer"/>
    <w:basedOn w:val="Normal"/>
    <w:pPr>
      <w:tabs>
        <w:tab w:val="center" w:pos="4320"/>
        <w:tab w:val="right" w:pos="8640"/>
      </w:tabs>
    </w:pPr>
  </w:style>
  <w:style w:type="paragraph" w:customStyle="1" w:styleId="mcjmchgpageheading">
    <w:name w:val="mcjm chg page heading"/>
    <w:basedOn w:val="Normal"/>
    <w:pPr>
      <w:widowControl w:val="0"/>
      <w:autoSpaceDE w:val="0"/>
      <w:autoSpaceDN w:val="0"/>
      <w:adjustRightInd w:val="0"/>
      <w:spacing w:line="480" w:lineRule="auto"/>
      <w:jc w:val="right"/>
    </w:pPr>
    <w:rPr>
      <w:sz w:val="28"/>
      <w:szCs w:val="2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BalloonText">
    <w:name w:val="Balloon Text"/>
    <w:basedOn w:val="Normal"/>
    <w:semiHidden/>
    <w:rsid w:val="00BE074A"/>
    <w:rPr>
      <w:rFonts w:ascii="Tahoma" w:hAnsi="Tahoma" w:cs="Tahoma"/>
      <w:sz w:val="16"/>
      <w:szCs w:val="16"/>
    </w:rPr>
  </w:style>
  <w:style w:type="paragraph" w:styleId="Revision">
    <w:name w:val="Revision"/>
    <w:hidden/>
    <w:uiPriority w:val="99"/>
    <w:semiHidden/>
    <w:rsid w:val="00F06FA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nette.Lind\Application%20Data\Microsoft\Templates\Civil\mcj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mcjc</Template>
  <TotalTime>20</TotalTime>
  <Pages>2</Pages>
  <Words>497</Words>
  <Characters>2544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1</vt:lpstr>
    </vt:vector>
  </TitlesOfParts>
  <Company>Civil Practice</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PC307705</dc:creator>
  <cp:keywords/>
  <dc:description/>
  <cp:lastModifiedBy>Kristi Robinson</cp:lastModifiedBy>
  <cp:revision>8</cp:revision>
  <cp:lastPrinted>2006-11-02T16:02:00Z</cp:lastPrinted>
  <dcterms:created xsi:type="dcterms:W3CDTF">2024-12-03T20:32:00Z</dcterms:created>
  <dcterms:modified xsi:type="dcterms:W3CDTF">2025-01-31T21:33:00Z</dcterms:modified>
</cp:coreProperties>
</file>